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510B" w14:textId="10BA506E" w:rsidR="00D5152E" w:rsidRDefault="00CB18F7" w:rsidP="00785DD8">
      <w:pPr>
        <w:pStyle w:val="Ventura-Author"/>
        <w:spacing w:before="240"/>
        <w:rPr>
          <w:b/>
          <w:color w:val="548DD4" w:themeColor="text2" w:themeTint="99"/>
          <w:sz w:val="32"/>
          <w:szCs w:val="3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18F7">
        <w:rPr>
          <w:b/>
          <w:color w:val="548DD4" w:themeColor="text2" w:themeTint="99"/>
          <w:sz w:val="32"/>
          <w:szCs w:val="3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Patient Autonomy, Paternalistic Healthcare Providers, and Criminal Liability in Therapeutic Contracts</w:t>
      </w:r>
    </w:p>
    <w:p w14:paraId="68AC3B6B" w14:textId="407D5859" w:rsidR="00DF481C" w:rsidRPr="00647AF7" w:rsidRDefault="00CB18F7" w:rsidP="00785DD8">
      <w:pPr>
        <w:pStyle w:val="Ventura-Author"/>
        <w:spacing w:before="240"/>
        <w:rPr>
          <w:color w:val="548DD4" w:themeColor="text2" w:themeTint="99"/>
          <w:spacing w:val="-4"/>
          <w:sz w:val="22"/>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7AF7">
        <w:rPr>
          <w:color w:val="548DD4" w:themeColor="text2" w:themeTint="99"/>
          <w:spacing w:val="-4"/>
          <w:sz w:val="22"/>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Eko Hosmi Feriadi</w:t>
      </w:r>
      <w:r w:rsidR="00647AF7" w:rsidRPr="00647AF7">
        <w:rPr>
          <w:color w:val="548DD4" w:themeColor="text2" w:themeTint="99"/>
          <w:spacing w:val="-4"/>
          <w:sz w:val="22"/>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Rafadi Khan Khayru, Fayola Issalillah, </w:t>
      </w:r>
      <w:r w:rsidR="00647AF7" w:rsidRPr="00647AF7">
        <w:rPr>
          <w:color w:val="548DD4" w:themeColor="text2" w:themeTint="99"/>
          <w:spacing w:val="-4"/>
          <w:sz w:val="22"/>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Yeni Vitrianingsih</w:t>
      </w:r>
      <w:r w:rsidR="00647AF7" w:rsidRPr="00647AF7">
        <w:rPr>
          <w:color w:val="548DD4" w:themeColor="text2" w:themeTint="99"/>
          <w:spacing w:val="-4"/>
          <w:sz w:val="22"/>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47AF7" w:rsidRPr="00647AF7">
        <w:rPr>
          <w:color w:val="548DD4" w:themeColor="text2" w:themeTint="99"/>
          <w:spacing w:val="-4"/>
          <w:sz w:val="22"/>
          <w:szCs w:val="22"/>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Rahayu Mardikaningsih</w:t>
      </w:r>
    </w:p>
    <w:p w14:paraId="32706BB6" w14:textId="77777777" w:rsidR="00A95189" w:rsidRPr="001E3756" w:rsidRDefault="00A95189" w:rsidP="005E10ED">
      <w:pPr>
        <w:pStyle w:val="Ventura-AuthorAddress"/>
        <w:rPr>
          <w:rFonts w:ascii="Book Antiqua" w:hAnsi="Book Antiqua"/>
          <w:szCs w:val="20"/>
          <w:lang w:val="id-ID"/>
        </w:rPr>
      </w:pPr>
    </w:p>
    <w:p w14:paraId="1DE0F7EA" w14:textId="20AB7F97" w:rsidR="000D4D0C" w:rsidRPr="001E3756" w:rsidRDefault="00E75246" w:rsidP="000B0B83">
      <w:pPr>
        <w:pStyle w:val="Ventura-AuthorAddress"/>
        <w:rPr>
          <w:rFonts w:ascii="Book Antiqua" w:hAnsi="Book Antiqua"/>
          <w:szCs w:val="20"/>
          <w:lang w:val="id-ID"/>
        </w:rPr>
      </w:pPr>
      <w:r>
        <w:rPr>
          <w:rFonts w:ascii="Book Antiqua" w:hAnsi="Book Antiqua"/>
          <w:szCs w:val="20"/>
          <w:lang w:val="id-ID"/>
        </w:rPr>
        <w:t xml:space="preserve">Universitas </w:t>
      </w:r>
      <w:r w:rsidR="00490568" w:rsidRPr="001E3756">
        <w:rPr>
          <w:rFonts w:ascii="Book Antiqua" w:hAnsi="Book Antiqua"/>
          <w:szCs w:val="20"/>
          <w:lang w:val="id-ID"/>
        </w:rPr>
        <w:t>Sunan Giri Surabaya, Indonesia</w:t>
      </w:r>
    </w:p>
    <w:p w14:paraId="6BA7BA83" w14:textId="77777777" w:rsidR="00DF481C" w:rsidRPr="001E3756" w:rsidRDefault="00DF481C" w:rsidP="005E10ED">
      <w:pPr>
        <w:pStyle w:val="Ventura-AuthorAddress"/>
        <w:rPr>
          <w:rFonts w:ascii="Book Antiqua" w:hAnsi="Book Antiqua"/>
          <w:szCs w:val="20"/>
          <w:lang w:val="id-ID" w:eastAsia="id-ID"/>
        </w:rPr>
      </w:pPr>
    </w:p>
    <w:p w14:paraId="1CAB2B54" w14:textId="77777777" w:rsidR="00A95189" w:rsidRPr="001E3756" w:rsidRDefault="00A95189" w:rsidP="005E10ED">
      <w:pPr>
        <w:pStyle w:val="Ventura-Abstract"/>
        <w:rPr>
          <w:sz w:val="20"/>
          <w:szCs w:val="20"/>
          <w:lang w:val="id-ID"/>
        </w:rPr>
      </w:pPr>
    </w:p>
    <w:tbl>
      <w:tblPr>
        <w:tblW w:w="5010" w:type="pct"/>
        <w:jc w:val="center"/>
        <w:tblCellMar>
          <w:left w:w="0" w:type="dxa"/>
          <w:right w:w="0" w:type="dxa"/>
        </w:tblCellMar>
        <w:tblLook w:val="01E0" w:firstRow="1" w:lastRow="1" w:firstColumn="1" w:lastColumn="1" w:noHBand="0" w:noVBand="0"/>
      </w:tblPr>
      <w:tblGrid>
        <w:gridCol w:w="3013"/>
        <w:gridCol w:w="297"/>
        <w:gridCol w:w="6348"/>
      </w:tblGrid>
      <w:tr w:rsidR="00284444" w:rsidRPr="001E3756" w14:paraId="051413DD" w14:textId="77777777" w:rsidTr="00E03BC6">
        <w:trPr>
          <w:jc w:val="center"/>
        </w:trPr>
        <w:tc>
          <w:tcPr>
            <w:tcW w:w="2977" w:type="dxa"/>
            <w:vMerge w:val="restart"/>
          </w:tcPr>
          <w:p w14:paraId="6DA9F32E" w14:textId="77777777" w:rsidR="00284444" w:rsidRPr="001E3756" w:rsidRDefault="00284444" w:rsidP="005E10ED">
            <w:pPr>
              <w:pStyle w:val="Ventura-AbstractTitle"/>
              <w:rPr>
                <w:rFonts w:ascii="Book Antiqua" w:hAnsi="Book Antiqua"/>
                <w:sz w:val="20"/>
                <w:szCs w:val="20"/>
                <w:lang w:val="id-ID"/>
              </w:rPr>
            </w:pPr>
            <w:r w:rsidRPr="001E3756">
              <w:rPr>
                <w:rFonts w:ascii="Book Antiqua" w:hAnsi="Book Antiqua"/>
                <w:sz w:val="20"/>
                <w:szCs w:val="20"/>
                <w:lang w:val="id-ID"/>
              </w:rPr>
              <w:t>ARTICLE INFO</w:t>
            </w:r>
          </w:p>
          <w:p w14:paraId="2BE3185C" w14:textId="77777777" w:rsidR="00284444" w:rsidRPr="001E3756" w:rsidRDefault="00284444" w:rsidP="005E10ED">
            <w:pPr>
              <w:pStyle w:val="Ventura-Keyword"/>
              <w:rPr>
                <w:b/>
                <w:bCs/>
                <w:sz w:val="20"/>
                <w:szCs w:val="20"/>
                <w:lang w:val="id-ID"/>
              </w:rPr>
            </w:pPr>
            <w:r w:rsidRPr="001E3756">
              <w:rPr>
                <w:b/>
                <w:bCs/>
                <w:sz w:val="20"/>
                <w:szCs w:val="20"/>
                <w:lang w:val="id-ID"/>
              </w:rPr>
              <w:t>Article history:</w:t>
            </w:r>
          </w:p>
          <w:p w14:paraId="422A4395" w14:textId="007E422F" w:rsidR="00284444" w:rsidRPr="001E3756" w:rsidRDefault="00284444" w:rsidP="000B0B83">
            <w:pPr>
              <w:pStyle w:val="StyleVentura-KeywordNotItalic"/>
              <w:rPr>
                <w:sz w:val="20"/>
                <w:szCs w:val="20"/>
                <w:lang w:val="id-ID"/>
              </w:rPr>
            </w:pPr>
            <w:r w:rsidRPr="001E3756">
              <w:rPr>
                <w:sz w:val="20"/>
                <w:szCs w:val="20"/>
                <w:lang w:val="id-ID"/>
              </w:rPr>
              <w:t xml:space="preserve">Received </w:t>
            </w:r>
            <w:r w:rsidR="00A76AA9">
              <w:rPr>
                <w:sz w:val="20"/>
                <w:szCs w:val="20"/>
                <w:lang w:val="id-ID"/>
              </w:rPr>
              <w:t>3</w:t>
            </w:r>
            <w:r w:rsidR="00E75246">
              <w:rPr>
                <w:sz w:val="20"/>
                <w:szCs w:val="20"/>
                <w:lang w:val="id-ID"/>
              </w:rPr>
              <w:t>0</w:t>
            </w:r>
            <w:r w:rsidR="00637549" w:rsidRPr="001E3756">
              <w:rPr>
                <w:sz w:val="20"/>
                <w:szCs w:val="20"/>
                <w:lang w:val="id-ID"/>
              </w:rPr>
              <w:t xml:space="preserve"> </w:t>
            </w:r>
            <w:r w:rsidR="00E75246">
              <w:rPr>
                <w:sz w:val="20"/>
                <w:szCs w:val="20"/>
                <w:lang w:val="id-ID"/>
              </w:rPr>
              <w:t>November</w:t>
            </w:r>
            <w:r w:rsidR="00BE576C" w:rsidRPr="001E3756">
              <w:rPr>
                <w:sz w:val="20"/>
                <w:szCs w:val="20"/>
                <w:lang w:val="id-ID"/>
              </w:rPr>
              <w:t xml:space="preserve"> 202</w:t>
            </w:r>
            <w:r w:rsidR="00E75246">
              <w:rPr>
                <w:sz w:val="20"/>
                <w:szCs w:val="20"/>
                <w:lang w:val="id-ID"/>
              </w:rPr>
              <w:t>2</w:t>
            </w:r>
          </w:p>
          <w:p w14:paraId="6A6F93E0" w14:textId="6A602C15" w:rsidR="00284444" w:rsidRPr="001E3756" w:rsidRDefault="00284444" w:rsidP="000B0B83">
            <w:pPr>
              <w:pStyle w:val="StyleVentura-KeywordNotItalic"/>
              <w:rPr>
                <w:sz w:val="20"/>
                <w:szCs w:val="20"/>
                <w:lang w:val="id-ID"/>
              </w:rPr>
            </w:pPr>
            <w:r w:rsidRPr="001E3756">
              <w:rPr>
                <w:sz w:val="20"/>
                <w:szCs w:val="20"/>
                <w:lang w:val="id-ID"/>
              </w:rPr>
              <w:t xml:space="preserve">Revised </w:t>
            </w:r>
            <w:r w:rsidR="00E75246">
              <w:rPr>
                <w:sz w:val="20"/>
                <w:szCs w:val="20"/>
                <w:lang w:val="id-ID"/>
              </w:rPr>
              <w:t>1</w:t>
            </w:r>
            <w:r w:rsidR="00A76AA9">
              <w:rPr>
                <w:sz w:val="20"/>
                <w:szCs w:val="20"/>
                <w:lang w:val="id-ID"/>
              </w:rPr>
              <w:t>8</w:t>
            </w:r>
            <w:r w:rsidR="00637549" w:rsidRPr="001E3756">
              <w:rPr>
                <w:sz w:val="20"/>
                <w:szCs w:val="20"/>
                <w:lang w:val="id-ID"/>
              </w:rPr>
              <w:t xml:space="preserve"> </w:t>
            </w:r>
            <w:r w:rsidR="00E75246">
              <w:rPr>
                <w:sz w:val="20"/>
                <w:szCs w:val="20"/>
                <w:lang w:val="id-ID"/>
              </w:rPr>
              <w:t>December</w:t>
            </w:r>
            <w:r w:rsidR="00BE576C" w:rsidRPr="001E3756">
              <w:rPr>
                <w:sz w:val="20"/>
                <w:szCs w:val="20"/>
                <w:lang w:val="id-ID"/>
              </w:rPr>
              <w:t xml:space="preserve"> 202</w:t>
            </w:r>
            <w:r w:rsidR="00E75246">
              <w:rPr>
                <w:sz w:val="20"/>
                <w:szCs w:val="20"/>
                <w:lang w:val="id-ID"/>
              </w:rPr>
              <w:t>2</w:t>
            </w:r>
          </w:p>
          <w:p w14:paraId="5588F607" w14:textId="2BCC8235" w:rsidR="00284444" w:rsidRPr="001E3756" w:rsidRDefault="00284444" w:rsidP="000B0B83">
            <w:pPr>
              <w:pStyle w:val="StyleVentura-KeywordNotItalic"/>
              <w:rPr>
                <w:sz w:val="20"/>
                <w:szCs w:val="20"/>
                <w:lang w:val="id-ID"/>
              </w:rPr>
            </w:pPr>
            <w:r w:rsidRPr="001E3756">
              <w:rPr>
                <w:sz w:val="20"/>
                <w:szCs w:val="20"/>
                <w:lang w:val="id-ID"/>
              </w:rPr>
              <w:t xml:space="preserve">Accepted </w:t>
            </w:r>
            <w:r w:rsidR="00E75246">
              <w:rPr>
                <w:sz w:val="20"/>
                <w:szCs w:val="20"/>
                <w:lang w:val="id-ID"/>
              </w:rPr>
              <w:t>1</w:t>
            </w:r>
            <w:r w:rsidR="00A76AA9">
              <w:rPr>
                <w:sz w:val="20"/>
                <w:szCs w:val="20"/>
                <w:lang w:val="id-ID"/>
              </w:rPr>
              <w:t>6</w:t>
            </w:r>
            <w:r w:rsidR="00637549" w:rsidRPr="001E3756">
              <w:rPr>
                <w:sz w:val="20"/>
                <w:szCs w:val="20"/>
                <w:lang w:val="id-ID"/>
              </w:rPr>
              <w:t xml:space="preserve"> </w:t>
            </w:r>
            <w:r w:rsidR="00E75246">
              <w:rPr>
                <w:sz w:val="20"/>
                <w:szCs w:val="20"/>
                <w:lang w:val="id-ID"/>
              </w:rPr>
              <w:t>February</w:t>
            </w:r>
            <w:r w:rsidR="00637549" w:rsidRPr="001E3756">
              <w:rPr>
                <w:sz w:val="20"/>
                <w:szCs w:val="20"/>
                <w:lang w:val="id-ID"/>
              </w:rPr>
              <w:t xml:space="preserve"> 202</w:t>
            </w:r>
            <w:r w:rsidR="00DE1731" w:rsidRPr="001E3756">
              <w:rPr>
                <w:sz w:val="20"/>
                <w:szCs w:val="20"/>
                <w:lang w:val="id-ID"/>
              </w:rPr>
              <w:t>3</w:t>
            </w:r>
          </w:p>
          <w:p w14:paraId="20F57061" w14:textId="77777777" w:rsidR="00DE1731" w:rsidRPr="001E3756" w:rsidRDefault="00DE1731" w:rsidP="000B0B83">
            <w:pPr>
              <w:pStyle w:val="StyleVentura-KeywordNotItalic"/>
              <w:rPr>
                <w:sz w:val="20"/>
                <w:szCs w:val="20"/>
                <w:lang w:val="id-ID"/>
              </w:rPr>
            </w:pPr>
          </w:p>
          <w:p w14:paraId="0AF7A401" w14:textId="77777777" w:rsidR="00BE576C" w:rsidRPr="001E3756" w:rsidRDefault="00BE576C" w:rsidP="005E10ED">
            <w:pPr>
              <w:pStyle w:val="StyleVentura-KeywordNotItalic"/>
              <w:rPr>
                <w:sz w:val="20"/>
                <w:szCs w:val="20"/>
                <w:lang w:val="id-ID"/>
              </w:rPr>
            </w:pPr>
          </w:p>
          <w:p w14:paraId="122C5B80" w14:textId="77777777" w:rsidR="00284444" w:rsidRPr="001E3756" w:rsidRDefault="00284444" w:rsidP="005E10ED">
            <w:pPr>
              <w:pStyle w:val="Ventura-Keyword"/>
              <w:rPr>
                <w:sz w:val="20"/>
                <w:szCs w:val="20"/>
                <w:lang w:val="id-ID"/>
              </w:rPr>
            </w:pPr>
            <w:r w:rsidRPr="001E3756">
              <w:rPr>
                <w:rStyle w:val="StyleVentura-KeywordLatinBoldChar"/>
                <w:sz w:val="20"/>
                <w:szCs w:val="20"/>
                <w:lang w:val="id-ID"/>
              </w:rPr>
              <w:t>Key words:</w:t>
            </w:r>
            <w:r w:rsidRPr="001E3756">
              <w:rPr>
                <w:sz w:val="20"/>
                <w:szCs w:val="20"/>
                <w:lang w:val="id-ID"/>
              </w:rPr>
              <w:t xml:space="preserve"> </w:t>
            </w:r>
          </w:p>
          <w:p w14:paraId="3059016D" w14:textId="77777777" w:rsidR="00CB18F7" w:rsidRPr="00CB18F7" w:rsidRDefault="00CB18F7" w:rsidP="00CB18F7">
            <w:pPr>
              <w:pStyle w:val="Ventura-Keyword"/>
              <w:rPr>
                <w:iCs/>
                <w:sz w:val="20"/>
                <w:szCs w:val="20"/>
              </w:rPr>
            </w:pPr>
            <w:r w:rsidRPr="00CB18F7">
              <w:rPr>
                <w:iCs/>
                <w:sz w:val="20"/>
                <w:szCs w:val="20"/>
              </w:rPr>
              <w:t xml:space="preserve">Patient autonomy, </w:t>
            </w:r>
          </w:p>
          <w:p w14:paraId="61988398" w14:textId="77777777" w:rsidR="00CB18F7" w:rsidRPr="00CB18F7" w:rsidRDefault="00CB18F7" w:rsidP="00CB18F7">
            <w:pPr>
              <w:pStyle w:val="Ventura-Keyword"/>
              <w:rPr>
                <w:iCs/>
                <w:sz w:val="20"/>
                <w:szCs w:val="20"/>
              </w:rPr>
            </w:pPr>
            <w:r w:rsidRPr="00CB18F7">
              <w:rPr>
                <w:iCs/>
                <w:sz w:val="20"/>
                <w:szCs w:val="20"/>
              </w:rPr>
              <w:t xml:space="preserve">Informed consent, </w:t>
            </w:r>
          </w:p>
          <w:p w14:paraId="32FD459F" w14:textId="77777777" w:rsidR="00CB18F7" w:rsidRPr="00CB18F7" w:rsidRDefault="00CB18F7" w:rsidP="00CB18F7">
            <w:pPr>
              <w:pStyle w:val="Ventura-Keyword"/>
              <w:rPr>
                <w:iCs/>
                <w:sz w:val="20"/>
                <w:szCs w:val="20"/>
              </w:rPr>
            </w:pPr>
            <w:r w:rsidRPr="00CB18F7">
              <w:rPr>
                <w:iCs/>
                <w:sz w:val="20"/>
                <w:szCs w:val="20"/>
              </w:rPr>
              <w:t xml:space="preserve">Therapeutic contract, </w:t>
            </w:r>
          </w:p>
          <w:p w14:paraId="3964B1B7" w14:textId="77777777" w:rsidR="00CB18F7" w:rsidRPr="00CB18F7" w:rsidRDefault="00CB18F7" w:rsidP="00CB18F7">
            <w:pPr>
              <w:pStyle w:val="Ventura-Keyword"/>
              <w:rPr>
                <w:iCs/>
                <w:sz w:val="20"/>
                <w:szCs w:val="20"/>
              </w:rPr>
            </w:pPr>
            <w:r w:rsidRPr="00CB18F7">
              <w:rPr>
                <w:iCs/>
                <w:sz w:val="20"/>
                <w:szCs w:val="20"/>
              </w:rPr>
              <w:t xml:space="preserve">Medical paternalism, </w:t>
            </w:r>
          </w:p>
          <w:p w14:paraId="670281DC" w14:textId="77777777" w:rsidR="00CB18F7" w:rsidRPr="00CB18F7" w:rsidRDefault="00CB18F7" w:rsidP="00CB18F7">
            <w:pPr>
              <w:pStyle w:val="Ventura-Keyword"/>
              <w:rPr>
                <w:iCs/>
                <w:sz w:val="20"/>
                <w:szCs w:val="20"/>
              </w:rPr>
            </w:pPr>
            <w:r w:rsidRPr="00CB18F7">
              <w:rPr>
                <w:iCs/>
                <w:sz w:val="20"/>
                <w:szCs w:val="20"/>
              </w:rPr>
              <w:t xml:space="preserve">Criminal law, </w:t>
            </w:r>
          </w:p>
          <w:p w14:paraId="663CC098" w14:textId="77777777" w:rsidR="00CB18F7" w:rsidRPr="00CB18F7" w:rsidRDefault="00CB18F7" w:rsidP="00CB18F7">
            <w:pPr>
              <w:pStyle w:val="Ventura-Keyword"/>
              <w:rPr>
                <w:iCs/>
                <w:sz w:val="20"/>
                <w:szCs w:val="20"/>
              </w:rPr>
            </w:pPr>
            <w:r w:rsidRPr="00CB18F7">
              <w:rPr>
                <w:iCs/>
                <w:sz w:val="20"/>
                <w:szCs w:val="20"/>
              </w:rPr>
              <w:t xml:space="preserve">Principle of legality, </w:t>
            </w:r>
          </w:p>
          <w:p w14:paraId="4557301E" w14:textId="43B561BB" w:rsidR="00284444" w:rsidRPr="001E3756" w:rsidRDefault="00CB18F7" w:rsidP="00CB18F7">
            <w:pPr>
              <w:pStyle w:val="Ventura-Keyword"/>
              <w:rPr>
                <w:sz w:val="20"/>
                <w:szCs w:val="20"/>
                <w:lang w:val="id-ID"/>
              </w:rPr>
            </w:pPr>
            <w:r w:rsidRPr="00CB18F7">
              <w:rPr>
                <w:iCs/>
                <w:sz w:val="20"/>
                <w:szCs w:val="20"/>
              </w:rPr>
              <w:t>Healthcare professional accountability</w:t>
            </w:r>
          </w:p>
        </w:tc>
        <w:tc>
          <w:tcPr>
            <w:tcW w:w="294" w:type="dxa"/>
          </w:tcPr>
          <w:p w14:paraId="3CDDD241" w14:textId="77777777" w:rsidR="00284444" w:rsidRPr="001E3756" w:rsidRDefault="00284444" w:rsidP="005E10ED">
            <w:pPr>
              <w:pStyle w:val="Ventura-AbstractTitle"/>
              <w:rPr>
                <w:rFonts w:ascii="Book Antiqua" w:hAnsi="Book Antiqua"/>
                <w:sz w:val="20"/>
                <w:szCs w:val="20"/>
                <w:lang w:val="id-ID"/>
              </w:rPr>
            </w:pPr>
          </w:p>
        </w:tc>
        <w:tc>
          <w:tcPr>
            <w:tcW w:w="6274" w:type="dxa"/>
          </w:tcPr>
          <w:p w14:paraId="24D7DBE9" w14:textId="77777777" w:rsidR="00284444" w:rsidRPr="001E3756" w:rsidRDefault="00284444" w:rsidP="005E10ED">
            <w:pPr>
              <w:pStyle w:val="Ventura-AbstractTitle"/>
              <w:rPr>
                <w:rFonts w:ascii="Book Antiqua" w:hAnsi="Book Antiqua"/>
                <w:sz w:val="20"/>
                <w:szCs w:val="20"/>
                <w:lang w:val="id-ID"/>
              </w:rPr>
            </w:pPr>
            <w:r w:rsidRPr="001E3756">
              <w:rPr>
                <w:rFonts w:ascii="Book Antiqua" w:hAnsi="Book Antiqua"/>
                <w:sz w:val="20"/>
                <w:szCs w:val="20"/>
                <w:lang w:val="id-ID"/>
              </w:rPr>
              <w:t>ABSTRACT</w:t>
            </w:r>
          </w:p>
          <w:p w14:paraId="3DF8990B" w14:textId="060203CC" w:rsidR="00284444" w:rsidRPr="00CB18F7" w:rsidRDefault="00CB18F7" w:rsidP="005E10ED">
            <w:pPr>
              <w:pStyle w:val="Ventura-Abstract"/>
              <w:rPr>
                <w:spacing w:val="-2"/>
                <w:sz w:val="20"/>
                <w:szCs w:val="20"/>
                <w:lang w:val="id-ID"/>
              </w:rPr>
            </w:pPr>
            <w:r w:rsidRPr="00CB18F7">
              <w:rPr>
                <w:spacing w:val="-2"/>
                <w:sz w:val="20"/>
                <w:szCs w:val="20"/>
              </w:rPr>
              <w:t>This study examines the status of patient autonomy and the limits of healthcare professionals’ paternalism within therapeutic contracts, as well as the potential for criminal liability arising from violations of patients’ rights under positive law. Employing normative legal research with statutory and conceptual approaches, it analyzes primary legal materials in the form of legislation and court decisions, alongside secondary legal materials comprising doctrinal writings and scholarly literature, through a qualitative and prescriptive method. The findings indicate that therapeutic contracts position patients simultaneously as legal subjects and as parties who, in factual terms, occupy a vulnerable position, thereby creating space for the dominance of healthcare professionals. Patient autonomy is normatively guaranteed through provisions on informed consent in health regulations and medical practice laws; however, this has not been accompanied by the formulation of specific criminal offenses that explicitly criminalize violations of consent to medical interventions. Paternalistic conduct by healthcare professionals is still permitted in emergency situations, provided that it aims to protect patient safety and is carried out in accordance with professional standards. The absence of clear criminal provisions results in the protection of patient autonomy relying largely on civil, ethical, and administrative mechanisms, which do not yet provide a sufficiently deterrent effect. The study recommends the establishment of explicit prohibitory norms regarding medical interventions without valid consent, applicable to all healthcare professionals, alongside a clear affirmation of informed consent as an integral component of professional standards and standard operating procedures. Furthermore, a reinterpretation of the therapeutic relationship as an obligation of best efforts grounded in equitable communication is essential to balance the need for prompt medical intervention with respect for patient autonomy, so that every clinical decision reflects the outcome of rational consent rather than mere professional dominance that may cause physical or psychological harm to patients</w:t>
            </w:r>
            <w:r w:rsidRPr="00CB18F7">
              <w:rPr>
                <w:spacing w:val="-2"/>
                <w:sz w:val="20"/>
                <w:szCs w:val="20"/>
              </w:rPr>
              <w:t>.</w:t>
            </w:r>
            <w:r w:rsidR="00F612A5" w:rsidRPr="00CB18F7">
              <w:rPr>
                <w:spacing w:val="-2"/>
                <w:sz w:val="20"/>
                <w:szCs w:val="20"/>
                <w:lang w:val="id-ID"/>
              </w:rPr>
              <w:t xml:space="preserve"> </w:t>
            </w:r>
          </w:p>
        </w:tc>
      </w:tr>
      <w:tr w:rsidR="00284444" w:rsidRPr="001E3756" w14:paraId="16D72F24" w14:textId="77777777" w:rsidTr="00E03BC6">
        <w:trPr>
          <w:jc w:val="center"/>
        </w:trPr>
        <w:tc>
          <w:tcPr>
            <w:tcW w:w="2977" w:type="dxa"/>
            <w:vMerge/>
          </w:tcPr>
          <w:p w14:paraId="6E4AC918" w14:textId="77777777" w:rsidR="00284444" w:rsidRPr="001E3756" w:rsidRDefault="00284444" w:rsidP="005E10ED">
            <w:pPr>
              <w:pStyle w:val="Ventura-AbstractTitle"/>
              <w:rPr>
                <w:rFonts w:ascii="Book Antiqua" w:hAnsi="Book Antiqua"/>
                <w:sz w:val="20"/>
                <w:szCs w:val="20"/>
                <w:lang w:val="id-ID"/>
              </w:rPr>
            </w:pPr>
          </w:p>
        </w:tc>
        <w:tc>
          <w:tcPr>
            <w:tcW w:w="294" w:type="dxa"/>
          </w:tcPr>
          <w:p w14:paraId="46118652" w14:textId="77777777" w:rsidR="00284444" w:rsidRPr="001E3756" w:rsidRDefault="00284444" w:rsidP="005E10ED">
            <w:pPr>
              <w:pStyle w:val="Ventura-AbstractTitle"/>
              <w:rPr>
                <w:rFonts w:ascii="Book Antiqua" w:hAnsi="Book Antiqua"/>
                <w:sz w:val="20"/>
                <w:szCs w:val="20"/>
                <w:lang w:val="id-ID"/>
              </w:rPr>
            </w:pPr>
          </w:p>
        </w:tc>
        <w:tc>
          <w:tcPr>
            <w:tcW w:w="6274" w:type="dxa"/>
          </w:tcPr>
          <w:p w14:paraId="22830157" w14:textId="77777777" w:rsidR="00284444" w:rsidRPr="001E3756" w:rsidRDefault="00284444" w:rsidP="00481F76">
            <w:pPr>
              <w:pStyle w:val="Ventura-Abstract"/>
              <w:rPr>
                <w:spacing w:val="0"/>
                <w:sz w:val="20"/>
                <w:szCs w:val="20"/>
                <w:lang w:val="id-ID"/>
              </w:rPr>
            </w:pPr>
          </w:p>
        </w:tc>
      </w:tr>
    </w:tbl>
    <w:p w14:paraId="583824F6" w14:textId="77777777" w:rsidR="00A95189" w:rsidRPr="001E3756" w:rsidRDefault="00A95189" w:rsidP="005E10ED">
      <w:pPr>
        <w:pStyle w:val="Ventura-Content"/>
        <w:ind w:firstLine="0"/>
        <w:rPr>
          <w:szCs w:val="20"/>
          <w:lang w:val="id-ID"/>
        </w:rPr>
      </w:pPr>
    </w:p>
    <w:p w14:paraId="7CEEC3A3" w14:textId="77777777" w:rsidR="00A95189" w:rsidRPr="001E3756" w:rsidRDefault="00A95189" w:rsidP="005E10ED">
      <w:pPr>
        <w:pStyle w:val="Ventura-Content"/>
        <w:rPr>
          <w:szCs w:val="20"/>
          <w:lang w:val="id-ID"/>
        </w:rPr>
        <w:sectPr w:rsidR="00A95189" w:rsidRPr="001E3756" w:rsidSect="00647AF7">
          <w:headerReference w:type="even" r:id="rId8"/>
          <w:headerReference w:type="default" r:id="rId9"/>
          <w:footerReference w:type="even" r:id="rId10"/>
          <w:footerReference w:type="default" r:id="rId11"/>
          <w:headerReference w:type="first" r:id="rId12"/>
          <w:footerReference w:type="first" r:id="rId13"/>
          <w:pgSz w:w="11907" w:h="16840" w:code="9"/>
          <w:pgMar w:top="1701" w:right="1134" w:bottom="1701" w:left="1134" w:header="680" w:footer="680" w:gutter="0"/>
          <w:pgNumType w:start="307"/>
          <w:cols w:space="720"/>
          <w:titlePg/>
          <w:docGrid w:linePitch="360"/>
        </w:sectPr>
      </w:pPr>
    </w:p>
    <w:p w14:paraId="6ED42EFC" w14:textId="008478C7" w:rsidR="00891382" w:rsidRPr="001E3756" w:rsidRDefault="004244ED" w:rsidP="005E10ED">
      <w:pPr>
        <w:pStyle w:val="Ventura-Heading1"/>
        <w:rPr>
          <w:color w:val="1F497D" w:themeColor="text2"/>
          <w:szCs w:val="20"/>
          <w:lang w:val="id-ID"/>
        </w:rPr>
      </w:pPr>
      <w:r w:rsidRPr="001E3756">
        <w:rPr>
          <w:noProof/>
          <w:color w:val="1F497D" w:themeColor="text2"/>
          <w:szCs w:val="20"/>
          <w:lang w:val="id-ID"/>
        </w:rPr>
        <mc:AlternateContent>
          <mc:Choice Requires="wps">
            <w:drawing>
              <wp:anchor distT="107950" distB="0" distL="114300" distR="114300" simplePos="0" relativeHeight="251657728" behindDoc="0" locked="0" layoutInCell="1" allowOverlap="1" wp14:anchorId="3900F9EC" wp14:editId="7580A72D">
                <wp:simplePos x="0" y="0"/>
                <wp:positionH relativeFrom="column">
                  <wp:posOffset>13335</wp:posOffset>
                </wp:positionH>
                <wp:positionV relativeFrom="page">
                  <wp:posOffset>9545955</wp:posOffset>
                </wp:positionV>
                <wp:extent cx="6047740" cy="171450"/>
                <wp:effectExtent l="0" t="0" r="10160" b="0"/>
                <wp:wrapTopAndBottom/>
                <wp:docPr id="1"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8C2B6" w14:textId="7DBD3C85" w:rsidR="00D202D5" w:rsidRPr="00E062BA" w:rsidRDefault="00D202D5" w:rsidP="00476184">
                            <w:pPr>
                              <w:pStyle w:val="Ventura-Keyword"/>
                              <w:rPr>
                                <w:color w:val="1F497D" w:themeColor="text2"/>
                              </w:rPr>
                            </w:pPr>
                            <w:r w:rsidRPr="00E062BA">
                              <w:rPr>
                                <w:color w:val="1F497D" w:themeColor="text2"/>
                              </w:rPr>
                              <w:t xml:space="preserve">* Corresponding author, email address: </w:t>
                            </w:r>
                            <w:r w:rsidR="004215A7">
                              <w:rPr>
                                <w:color w:val="1F497D" w:themeColor="text2"/>
                              </w:rPr>
                              <w:t>rahayumardikaningsih@gmail.com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0F9EC" id="_x0000_t202" coordsize="21600,21600" o:spt="202" path="m,l,21600r21600,l21600,xe">
                <v:stroke joinstyle="miter"/>
                <v:path gradientshapeok="t" o:connecttype="rect"/>
              </v:shapetype>
              <v:shape id="Text Box 262" o:spid="_x0000_s1026" type="#_x0000_t202" style="position:absolute;left:0;text-align:left;margin-left:1.05pt;margin-top:751.65pt;width:476.2pt;height:13.5pt;z-index:251657728;visibility:visible;mso-wrap-style:square;mso-width-percent:0;mso-height-percent:0;mso-wrap-distance-left:9pt;mso-wrap-distance-top:8.5pt;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" filled="f" stroked="f">
                <v:textbox inset="0,0,0,0">
                  <w:txbxContent>
                    <w:p w14:paraId="54E8C2B6" w14:textId="7DBD3C85" w:rsidR="00D202D5" w:rsidRPr="00E062BA" w:rsidRDefault="00D202D5" w:rsidP="00476184">
                      <w:pPr>
                        <w:pStyle w:val="Ventura-Keyword"/>
                        <w:rPr>
                          <w:color w:val="1F497D" w:themeColor="text2"/>
                        </w:rPr>
                      </w:pPr>
                      <w:r w:rsidRPr="00E062BA">
                        <w:rPr>
                          <w:color w:val="1F497D" w:themeColor="text2"/>
                        </w:rPr>
                        <w:t xml:space="preserve">* Corresponding author, email address: </w:t>
                      </w:r>
                      <w:r w:rsidR="004215A7">
                        <w:rPr>
                          <w:color w:val="1F497D" w:themeColor="text2"/>
                        </w:rPr>
                        <w:t>rahayumardikaningsih@gmail.com</w:t>
                      </w:r>
                    </w:p>
                  </w:txbxContent>
                </v:textbox>
                <w10:wrap type="topAndBottom" anchory="page"/>
              </v:shape>
            </w:pict>
          </mc:Fallback>
        </mc:AlternateContent>
      </w:r>
      <w:r w:rsidR="00DC3CC2" w:rsidRPr="001E3756">
        <w:rPr>
          <w:color w:val="1F497D" w:themeColor="text2"/>
          <w:szCs w:val="20"/>
          <w:lang w:val="id-ID"/>
        </w:rPr>
        <w:t>Introduction</w:t>
      </w:r>
    </w:p>
    <w:p w14:paraId="04918B1F" w14:textId="77777777" w:rsidR="006767CA" w:rsidRPr="006767CA" w:rsidRDefault="006767CA" w:rsidP="006767CA">
      <w:pPr>
        <w:pStyle w:val="Ventura-Content"/>
        <w:ind w:firstLine="0"/>
        <w:rPr>
          <w:szCs w:val="20"/>
          <w:lang w:val="en-ID"/>
        </w:rPr>
      </w:pPr>
      <w:r w:rsidRPr="006767CA">
        <w:rPr>
          <w:szCs w:val="20"/>
          <w:lang w:val="en-ID"/>
        </w:rPr>
        <w:t xml:space="preserve">In the study of health law, the therapeutic contract positions the patient simultaneously in two categories, namely as a sick person and as a fully fledged legal subject. In the first capacity, the patient comes to a hospital or physician because professional assistance is required from a party possessing medical competence, with the aim of recovering from an organ dysfunction or at least obtaining medical treatment in accordance with professional standards. In this position, the patient is in a state of high </w:t>
      </w:r>
      <w:r w:rsidRPr="006767CA">
        <w:rPr>
          <w:szCs w:val="20"/>
          <w:lang w:val="en-ID"/>
        </w:rPr>
        <w:t xml:space="preserve">dependence so that their room for maneuver is very limited, while the effective authority to determine medical actions largely rests in the hands of the entrusted healthcare professionals. Physical weakness, the magnitude of the risk if the illness is left untreated, the hope of recovery, and the absence of technical knowledge in the field of medicine encourage patients to entrust the management of the entire process of treatment and care to physicians and other healthcare personnel in the hospital. This situation creates an asymmetrical relationship </w:t>
      </w:r>
      <w:r w:rsidRPr="006767CA">
        <w:rPr>
          <w:szCs w:val="20"/>
          <w:lang w:val="en-ID"/>
        </w:rPr>
        <w:lastRenderedPageBreak/>
        <w:t>between patients and healthcare professionals, in which the dominance of knowledge and control over medical decisions lies with the healthcare professionals, while the patient is more frequently placed as a relatively passive recipient of interventions (Yohanes et al., 2022).</w:t>
      </w:r>
    </w:p>
    <w:p w14:paraId="5E92DE1B" w14:textId="77777777" w:rsidR="006767CA" w:rsidRPr="006767CA" w:rsidRDefault="006767CA" w:rsidP="006767CA">
      <w:pPr>
        <w:pStyle w:val="Ventura-Content"/>
        <w:rPr>
          <w:szCs w:val="20"/>
          <w:lang w:val="en-ID"/>
        </w:rPr>
      </w:pPr>
      <w:r w:rsidRPr="006767CA">
        <w:rPr>
          <w:szCs w:val="20"/>
          <w:lang w:val="en-ID"/>
        </w:rPr>
        <w:t>Within such a relational configuration, paternalism tends to be accepted by patients as something natural, because they require the intervention of physicians and other healthcare professionals so that their health problems can be promptly and appropriately addressed. Paternalism is understood as a pattern of relationship between patient and health provider, in which the health provider restricts the scope of discussion and the range of choices available to the patient regarding the medical interventions to be undertaken, so that the assessment of what is considered best for the patient ultimately lies within the authority of the health provider. This type of relational pattern is often regarded in practical terms as efficient, since medical decisions can be made rapidly on the basis of the physician’s professional knowledge. However, from the perspective of law and medical ethics, such a pattern has the potential to shift the position of the patient from an empowered subject to an object of medical policy, particularly when the patient’s rights to receive information, to give consent, or to refuse certain interventions are not adequately accommodated (Roihanah, 2019). It is at this point that tension arises between the need for rapid professional intervention and the requirement to recognize the autonomy of the patient as an individual with legal capacity.</w:t>
      </w:r>
    </w:p>
    <w:p w14:paraId="435FAB55" w14:textId="77777777" w:rsidR="006767CA" w:rsidRPr="006767CA" w:rsidRDefault="006767CA" w:rsidP="006767CA">
      <w:pPr>
        <w:pStyle w:val="Ventura-Content"/>
        <w:rPr>
          <w:szCs w:val="20"/>
          <w:lang w:val="en-ID"/>
        </w:rPr>
      </w:pPr>
      <w:r w:rsidRPr="006767CA">
        <w:rPr>
          <w:szCs w:val="20"/>
          <w:lang w:val="en-ID"/>
        </w:rPr>
        <w:t xml:space="preserve">When the patient is placed as a legal subject, the orientation of interests becomes different. As a legal subject, the patient bears a set of rights and obligations that cannot be separated from their status as a dignified person. Within the framework of this study, the patient’s interests as a legal subject refer to the existence of freedom held by the patient in the therapeutic contract, which encompasses the right to understand, to consent to, or to refuse medical interventions on the basis of adequate information. This element of freedom constitutes an integral part of the patient’s human dignity, so that illness cannot be invoked as a justification to remove or diminish recognition of that dignity. The principle of respect for patient autonomy, which is normatively reflected in the regulation of informed consent, requires a process of communication that is honest, comprehensive, and intelligible to the patient, so that the decisions taken do not merely become the result of the healthcare professional’s domination (Yohanes </w:t>
      </w:r>
      <w:r w:rsidRPr="006767CA">
        <w:rPr>
          <w:szCs w:val="20"/>
          <w:lang w:val="en-ID"/>
        </w:rPr>
        <w:t>et al., 2022). Thus, the therapeutic contract should be understood as a legal relationship that embodies a rational agreement between two parties, even though one of them is in a physically or psychologically weakened condition.</w:t>
      </w:r>
    </w:p>
    <w:p w14:paraId="483CBE42" w14:textId="77777777" w:rsidR="006767CA" w:rsidRPr="006767CA" w:rsidRDefault="006767CA" w:rsidP="006767CA">
      <w:pPr>
        <w:pStyle w:val="Ventura-Content"/>
        <w:rPr>
          <w:szCs w:val="20"/>
          <w:lang w:val="en-ID"/>
        </w:rPr>
      </w:pPr>
      <w:r w:rsidRPr="006767CA">
        <w:rPr>
          <w:szCs w:val="20"/>
          <w:lang w:val="en-ID"/>
        </w:rPr>
        <w:t>Therefore, when a person undergoes treatment in a hospital or consults a physician, at least two statuses are simultaneously attached, namely the status as a patient in need of medical assistance and the status as a legal subject possessing rights and obligations protected by law (Trihastuti et al., 2020). The ensuing theoretical question concerns how to position the element of freedom when a patient is engaged in a medical transaction while at the same time being in urgent need of medical intervention to achieve recovery. The question that arises is whether it remains meaningful to speak of patient freedom when the available options are in practical terms constrained by the pressing need for assistance from physicians and health facilities. On the one hand, the demands of professionalism encourage healthcare professionals to act swiftly and decisively in the interest of patient safety; on the other hand, the principle of autonomy requires respect for the patient’s right to determine what will happen to their own body. This tension gives rise to the need to re-examine the normative foundations, practical implementation, and legitimate limits of paternalism in health services, particularly in relation to the potential infringement of patient autonomy.</w:t>
      </w:r>
    </w:p>
    <w:p w14:paraId="33D4703E" w14:textId="2B30582B" w:rsidR="000C1234" w:rsidRDefault="006767CA" w:rsidP="006767CA">
      <w:pPr>
        <w:pStyle w:val="Ventura-Content"/>
        <w:rPr>
          <w:szCs w:val="20"/>
          <w:lang w:val="id-ID"/>
        </w:rPr>
      </w:pPr>
      <w:r w:rsidRPr="006767CA">
        <w:rPr>
          <w:szCs w:val="20"/>
          <w:lang w:val="en-ID"/>
        </w:rPr>
        <w:t>On the basis of the foregoing, the background of this study arises from the need to reassess the legal relationship between patients and healthcare professionals within the therapeutic contract, by placing patient autonomy as one of the primary principles that must be safeguarded through normative regulation and law enforcement practice. First, it is important to analyze whether violations of the principle of patient autonomy may be classified as a form of offense that gives rise to criminal liability, so that a reconfiguration of the normative framework and law enforcement practice is required in order to ensure stronger protection of patients’ rights within the therapeutic contract. Second, it is necessary to examine how Indonesian positive law constructs and regulates patient autonomy in the context of the therapeutic contract and the extent to which such regulation provides clear limits on paternalistic actions by healthcare professionals, so that legal protection for patients does not remain merely declaratory, but is effectively reflected in everyday health service practices</w:t>
      </w:r>
      <w:r w:rsidR="007D1601">
        <w:rPr>
          <w:szCs w:val="20"/>
          <w:lang w:val="id-ID"/>
        </w:rPr>
        <w:t>.</w:t>
      </w:r>
    </w:p>
    <w:p w14:paraId="2EA63C02" w14:textId="77777777" w:rsidR="00D6216C" w:rsidRPr="006767CA" w:rsidRDefault="00D6216C" w:rsidP="006767CA">
      <w:pPr>
        <w:pStyle w:val="Ventura-Content"/>
        <w:rPr>
          <w:szCs w:val="20"/>
          <w:lang w:val="en-ID"/>
        </w:rPr>
      </w:pPr>
    </w:p>
    <w:p w14:paraId="24B537B1" w14:textId="77777777" w:rsidR="00B17501" w:rsidRPr="001E3756" w:rsidRDefault="00B17501" w:rsidP="00B17501">
      <w:pPr>
        <w:pStyle w:val="Ventura-Content"/>
        <w:ind w:firstLine="0"/>
        <w:rPr>
          <w:szCs w:val="20"/>
          <w:lang w:val="id-ID"/>
        </w:rPr>
      </w:pPr>
    </w:p>
    <w:p w14:paraId="16D3E112" w14:textId="77777777" w:rsidR="00C7551C" w:rsidRPr="001E3756" w:rsidRDefault="00C7551C" w:rsidP="00C7551C">
      <w:pPr>
        <w:pStyle w:val="Ventura-Content"/>
        <w:ind w:firstLine="0"/>
        <w:rPr>
          <w:b/>
          <w:bCs/>
          <w:color w:val="1F497D" w:themeColor="text2"/>
          <w:szCs w:val="20"/>
          <w:lang w:val="id-ID"/>
        </w:rPr>
      </w:pPr>
      <w:r w:rsidRPr="001E3756">
        <w:rPr>
          <w:b/>
          <w:bCs/>
          <w:color w:val="1F497D" w:themeColor="text2"/>
          <w:szCs w:val="20"/>
          <w:lang w:val="id-ID"/>
        </w:rPr>
        <w:lastRenderedPageBreak/>
        <w:t xml:space="preserve">RESEARCH METHOD  </w:t>
      </w:r>
    </w:p>
    <w:p w14:paraId="3F53A8C5" w14:textId="77777777" w:rsidR="00EB7AF8" w:rsidRPr="00EB7AF8" w:rsidRDefault="00EB7AF8" w:rsidP="00EB7AF8">
      <w:pPr>
        <w:pStyle w:val="Ventura-Content"/>
        <w:ind w:firstLine="0"/>
        <w:rPr>
          <w:szCs w:val="20"/>
          <w:lang w:val="en-ID"/>
        </w:rPr>
      </w:pPr>
      <w:r w:rsidRPr="00EB7AF8">
        <w:rPr>
          <w:szCs w:val="20"/>
          <w:lang w:val="en-ID"/>
        </w:rPr>
        <w:t>Methodological inquiry in legal research constitutes an essential foundation to ensure that the analysis of criminal law issues in medical cases is structured systematically and can be justified. This study focuses on criminal law aspects formulated by statutory provisions in medical cases by examining their legal construction comprehensively through normative legal research of a prescriptive nature. The approaches employed comprise a conceptual approach and a statutory approach to the formulated legal issues, whereby the statutory approach is implemented by examining various forms of relevant legislation and regulations. Through the conceptual approach, this study draws upon the views of scholars and evolving legal doctrines, so that the discussion of the issues raised rests on a robust theoretical framework that is consistent with developments in legal science.</w:t>
      </w:r>
    </w:p>
    <w:p w14:paraId="6627587F" w14:textId="5C208B5F" w:rsidR="008E3AAF" w:rsidRPr="008E3AAF" w:rsidRDefault="00EB7AF8" w:rsidP="00EB7AF8">
      <w:pPr>
        <w:pStyle w:val="Ventura-Content"/>
        <w:rPr>
          <w:szCs w:val="20"/>
          <w:lang w:val="en-ID"/>
        </w:rPr>
      </w:pPr>
      <w:r w:rsidRPr="00EB7AF8">
        <w:rPr>
          <w:szCs w:val="20"/>
          <w:lang w:val="en-ID"/>
        </w:rPr>
        <w:t>The legal materials in this study are classified into primary legal materials and secondary legal materials. Primary legal materials include court decisions that have obtained permanent legal force, in both criminal and civil cases, insofar as they relate to the identified legal issues, namely disputes concerning the right to information and the right of self-determination of patients in medical care. Secondary legal materials consist of expert opinions and doctrines derived from literature, law journals, books, and research findings that are relevant to the research problems. All of these legal materials are processed through stages of selection and categorization based on their relevance to the issues under discussion, whether originating from primary or secondary sources, and are then analyzed critically in order to delineate patterns of argumentation, regulatory gaps, and trends in the application of law in practice. Accordingly, this study is expected to make a significant contribution to strengthening both the theoretical and practical foundations of criminal law enforcement related to the right to information and the right of self-determination of patients within the domain of medical services.</w:t>
      </w:r>
    </w:p>
    <w:p w14:paraId="0970A9B2" w14:textId="77777777" w:rsidR="00140245" w:rsidRPr="001E3756" w:rsidRDefault="00140245" w:rsidP="00140245">
      <w:pPr>
        <w:pStyle w:val="Ventura-Content"/>
        <w:rPr>
          <w:szCs w:val="20"/>
          <w:lang w:val="id-ID"/>
        </w:rPr>
      </w:pPr>
    </w:p>
    <w:p w14:paraId="4D5BC194" w14:textId="77777777" w:rsidR="001E2E2D" w:rsidRPr="001E3756" w:rsidRDefault="00C7551C" w:rsidP="001E2E2D">
      <w:pPr>
        <w:pStyle w:val="Ventura-Content"/>
        <w:ind w:firstLine="0"/>
        <w:rPr>
          <w:b/>
          <w:bCs/>
          <w:color w:val="1F497D" w:themeColor="text2"/>
          <w:szCs w:val="20"/>
          <w:lang w:val="id-ID"/>
        </w:rPr>
      </w:pPr>
      <w:r w:rsidRPr="001E3756">
        <w:rPr>
          <w:b/>
          <w:bCs/>
          <w:color w:val="1F497D" w:themeColor="text2"/>
          <w:szCs w:val="20"/>
          <w:lang w:val="id-ID"/>
        </w:rPr>
        <w:t>RESULT AND DISCUSSION</w:t>
      </w:r>
    </w:p>
    <w:p w14:paraId="08E0108D" w14:textId="003C316A" w:rsidR="00BA4E80" w:rsidRPr="00BA4E80" w:rsidRDefault="00EB7AF8" w:rsidP="00BA4E80">
      <w:pPr>
        <w:pStyle w:val="Ventura-Content"/>
        <w:ind w:firstLine="0"/>
        <w:rPr>
          <w:b/>
          <w:bCs/>
          <w:color w:val="1F497D" w:themeColor="text2"/>
          <w:szCs w:val="20"/>
          <w:lang w:val="id-ID"/>
        </w:rPr>
      </w:pPr>
      <w:r w:rsidRPr="00EB7AF8">
        <w:rPr>
          <w:b/>
          <w:bCs/>
          <w:color w:val="1F497D" w:themeColor="text2"/>
          <w:szCs w:val="20"/>
        </w:rPr>
        <w:t>Principles of Legality and Criminal Liability</w:t>
      </w:r>
    </w:p>
    <w:p w14:paraId="0306539B" w14:textId="77777777" w:rsidR="00EB7AF8" w:rsidRPr="00EB7AF8" w:rsidRDefault="00EB7AF8" w:rsidP="00EB7AF8">
      <w:pPr>
        <w:pStyle w:val="Ventura-Content"/>
        <w:ind w:firstLine="0"/>
        <w:rPr>
          <w:spacing w:val="2"/>
          <w:szCs w:val="20"/>
          <w:lang w:val="en-ID"/>
        </w:rPr>
      </w:pPr>
      <w:r w:rsidRPr="00EB7AF8">
        <w:rPr>
          <w:spacing w:val="2"/>
          <w:szCs w:val="20"/>
          <w:lang w:val="en-ID"/>
        </w:rPr>
        <w:t xml:space="preserve">The elucidation of fundamental principles and doctrines of criminal law constitutes a prerequisite for constructing law enforcement that is both just and grounded in legal certainty. An understanding of criminal responsibility is pivotal, because in essence criminal responsibility concerns the imposition of punishment on perpetrators who commit prohibited acts or bring about a prohibited </w:t>
      </w:r>
      <w:r w:rsidRPr="00EB7AF8">
        <w:rPr>
          <w:spacing w:val="2"/>
          <w:szCs w:val="20"/>
          <w:lang w:val="en-ID"/>
        </w:rPr>
        <w:t>state (Fadlian, 2020). Within the criminal law system, the imposition of punishment on an individual is always supported by two main pillars, namely the existence of a criminal act and the fulfillment of the elements of criminal responsibility. The notion of a criminal act is founded upon the maxim nullum delictum nulla poena sine praevia lege poenali (the principle of legality), whereas the aspect of criminal responsibility rests on the maxim geen straf zonder schuld, which affirms that no one may be punished in the absence of fault. These two foundations operate together to ensure that punishment is imposed only on those who may, in law, legitimately be held accountable for their conduct.</w:t>
      </w:r>
    </w:p>
    <w:p w14:paraId="24C222B9" w14:textId="77777777" w:rsidR="00EB7AF8" w:rsidRPr="00EB7AF8" w:rsidRDefault="00EB7AF8" w:rsidP="00EB7AF8">
      <w:pPr>
        <w:pStyle w:val="Ventura-Content"/>
        <w:rPr>
          <w:spacing w:val="2"/>
          <w:szCs w:val="20"/>
          <w:lang w:val="en-ID"/>
        </w:rPr>
      </w:pPr>
      <w:r w:rsidRPr="00EB7AF8">
        <w:rPr>
          <w:spacing w:val="-4"/>
          <w:szCs w:val="20"/>
          <w:lang w:val="en-ID"/>
        </w:rPr>
        <w:t>The principle of legality occupies a central position</w:t>
      </w:r>
      <w:r w:rsidRPr="00EB7AF8">
        <w:rPr>
          <w:spacing w:val="2"/>
          <w:szCs w:val="20"/>
          <w:lang w:val="en-ID"/>
        </w:rPr>
        <w:t xml:space="preserve"> in criminal law, because it provides the guarantee of legal certainty in the formulation and application of criminal offenses. Through the maxim nullum delictum nulla poena sine praevia lege poenali it is affirmed that no act may be punished without a prior provision in a regulation that governs it. This principle encompasses several core elements, namely: (1) no act is prohibited and threatened with punishment if it has not previously been declared as such in a statutory provision; (2) in determining the existence of a criminal act, analogy is not permitted; and (3) criminal law provisions may not be applied retroactively. With such regulation, the principle of legality functions as a bulwark against arbitrariness, so that the enforcement of criminal law proceeds within a framework of rules that are clear, measurable, and predictable.</w:t>
      </w:r>
    </w:p>
    <w:p w14:paraId="46BADCA4" w14:textId="77777777" w:rsidR="00EB7AF8" w:rsidRPr="00EB7AF8" w:rsidRDefault="00EB7AF8" w:rsidP="00EB7AF8">
      <w:pPr>
        <w:pStyle w:val="Ventura-Content"/>
        <w:rPr>
          <w:spacing w:val="2"/>
          <w:szCs w:val="20"/>
          <w:lang w:val="en-ID"/>
        </w:rPr>
      </w:pPr>
      <w:r w:rsidRPr="00EB7AF8">
        <w:rPr>
          <w:szCs w:val="20"/>
          <w:lang w:val="en-ID"/>
        </w:rPr>
        <w:t>Alongside the principle of legality, the dimension of criminal responsibility determines whether an individual may be subjected to criminal sanctions for his or her conduct. Criminal responsibility, often referred to in foreign literature as “toerekenbaarheid”, “criminal responsibility”, or “criminal liability”, focuses on the question of whether punishment can justifiably be imposed on the perpetrator for the act committed. Roeslan Saleh emphasizes that the notion of a criminal act in itself does not yet encompass responsibility; a criminal act refers to conduct that is prohibited and threatened with punishment, whereas responsibility arises only if the perpetrator of that act is at fault. The unwritten maxim “no punishment without fault” provides the normative</w:t>
      </w:r>
      <w:r w:rsidRPr="00EB7AF8">
        <w:rPr>
          <w:spacing w:val="2"/>
          <w:szCs w:val="20"/>
          <w:lang w:val="en-ID"/>
        </w:rPr>
        <w:t xml:space="preserve"> basis for the proposition that only perpetrators who are genuinely culpable may be subjected to punishment. Thus, the criminal law system requires the existence of an internal connection between the perpetrator and the act before punishment may be properly imposed.</w:t>
      </w:r>
    </w:p>
    <w:p w14:paraId="09AF4A5C" w14:textId="77777777" w:rsidR="00EB7AF8" w:rsidRPr="00EB7AF8" w:rsidRDefault="00EB7AF8" w:rsidP="00EB7AF8">
      <w:pPr>
        <w:pStyle w:val="Ventura-Content"/>
        <w:rPr>
          <w:spacing w:val="2"/>
          <w:szCs w:val="20"/>
          <w:lang w:val="en-ID"/>
        </w:rPr>
      </w:pPr>
      <w:r w:rsidRPr="00EB7AF8">
        <w:rPr>
          <w:spacing w:val="2"/>
          <w:szCs w:val="20"/>
          <w:lang w:val="en-ID"/>
        </w:rPr>
        <w:lastRenderedPageBreak/>
        <w:t>The assessment of criminal responsibility revolves around the perpetrator’s fault as the determining element for whether an act may be punished. A person is deemed to be at fault if, at the time of committing the offense, his or her attitude and conduct, measured by social standards, are worthy of reproach. From this perspective, punishment requires the fulfillment of two basic components, namely: (1) the existence of conduct that is contrary to law or contains an element of unlawfulness as the objective element, and (2) the presence of fault on the part of the perpetrator in the form of intent or negligence as the subjective element. Only when both elements are fulfilled can a perpetrator be regarded as criminally responsible. The balance between these objective and subjective elements is designed to ensure that punishment does not merely assess the consequences of the act, but also the mental quality of the perpetrator at the time of the conduct.</w:t>
      </w:r>
    </w:p>
    <w:p w14:paraId="24C4698A" w14:textId="77777777" w:rsidR="00EB7AF8" w:rsidRPr="00EB7AF8" w:rsidRDefault="00EB7AF8" w:rsidP="00EB7AF8">
      <w:pPr>
        <w:pStyle w:val="Ventura-Content"/>
        <w:rPr>
          <w:spacing w:val="2"/>
          <w:szCs w:val="20"/>
          <w:lang w:val="en-ID"/>
        </w:rPr>
      </w:pPr>
      <w:r w:rsidRPr="00EB7AF8">
        <w:rPr>
          <w:spacing w:val="2"/>
          <w:szCs w:val="20"/>
          <w:lang w:val="en-ID"/>
        </w:rPr>
        <w:t>A criminal act, in turn, entails consequences not only for the imposition of sanctions but also for the understanding of the nature of crime itself. In principle, a criminal act gives rise to responsibility and the possibility of punishment. At least two schools of thought exist regarding the nature of crime. First, there is the view that regards crime as sin or a reprehensible act committed against others. Second, there is the view that understands crime as an expression of an abnormal attitude and personality of the perpetrator that impels the commission of wrongful acts. These two approaches have developed and are often considered to represent the spectrum of perspectives on crime and punishment. From this vantage point, a criminal act is understood not as an event that arises without process, but as the product of human reflection and consciousness that subsequently generates social disturbance. Consequently, the system of punishment evaluates wrongful conduct not only on the basis of its consequences, but also by reference to the motives and states of awareness underlying such conduct.</w:t>
      </w:r>
    </w:p>
    <w:p w14:paraId="1E119CDD" w14:textId="77777777" w:rsidR="00EB7AF8" w:rsidRPr="00EB7AF8" w:rsidRDefault="00EB7AF8" w:rsidP="00EB7AF8">
      <w:pPr>
        <w:pStyle w:val="Ventura-Content"/>
        <w:rPr>
          <w:spacing w:val="2"/>
          <w:szCs w:val="20"/>
          <w:lang w:val="en-ID"/>
        </w:rPr>
      </w:pPr>
      <w:r w:rsidRPr="00EB7AF8">
        <w:rPr>
          <w:spacing w:val="2"/>
          <w:szCs w:val="20"/>
          <w:lang w:val="en-ID"/>
        </w:rPr>
        <w:t xml:space="preserve">The perpetrator’s capacity for responsibility is a decisive factor in determining whether an individual is fit to be held criminally liable. Criminal responsibility cannot be understood merely as the authority of the state to impose punishment, but also encompasses the conviction that, in concrete cases, it is indeed reasonable to demand accountability for the offense committed (Lewokeda, 2018). Viewed from the inner life of the perpetrator, the capacity for responsibility is closely related to mental condition, which must be in a </w:t>
      </w:r>
      <w:r w:rsidRPr="00EB7AF8">
        <w:rPr>
          <w:spacing w:val="2"/>
          <w:szCs w:val="20"/>
          <w:lang w:val="en-ID"/>
        </w:rPr>
        <w:t>normal state so as to permit the control of behavior in accordance with standards recognized by society. Individuals with sound mental health are able to assess the consequences of their actions and align their conduct with the demands of applicable norms. By placing mental capacity as a key criterion, criminal law seeks to ensure that punishment is applied in a proper, proportionate, and justice-oriented manner.</w:t>
      </w:r>
    </w:p>
    <w:p w14:paraId="24BB99F0" w14:textId="77777777" w:rsidR="00EB7AF8" w:rsidRPr="00EB7AF8" w:rsidRDefault="00EB7AF8" w:rsidP="00EB7AF8">
      <w:pPr>
        <w:pStyle w:val="Ventura-Content"/>
        <w:rPr>
          <w:spacing w:val="2"/>
          <w:szCs w:val="20"/>
          <w:lang w:val="en-ID"/>
        </w:rPr>
      </w:pPr>
      <w:r w:rsidRPr="00EB7AF8">
        <w:rPr>
          <w:spacing w:val="2"/>
          <w:szCs w:val="20"/>
          <w:lang w:val="en-ID"/>
        </w:rPr>
        <w:t>Although Article 44 of the Indonesian Criminal Code (KUHP) refers to the incapacity to be responsible, it does not provide a detailed formulation of what constitutes the capacity to be responsible. Consequently, scholarly views become a crucial point of reference. Van Hammel, for example, formulates that a person may be considered capable of bearing responsibility only if at least three conditions are fulfilled, namely: (1) the ability to realize or understand the meaning of the act within the context of crime; (2) the ability to realize that the act is regarded as improper in social interaction; and (3) the ability to determine his or her will or intention with respect to the act. By taking these requirements into account, criminal law directs responsibility only toward those who possess the capacity to understand, evaluate, and control their conduct.</w:t>
      </w:r>
    </w:p>
    <w:p w14:paraId="4C0D42E2" w14:textId="77777777" w:rsidR="00EB7AF8" w:rsidRPr="00EB7AF8" w:rsidRDefault="00EB7AF8" w:rsidP="00EB7AF8">
      <w:pPr>
        <w:pStyle w:val="Ventura-Content"/>
        <w:rPr>
          <w:spacing w:val="2"/>
          <w:szCs w:val="20"/>
          <w:lang w:val="en-ID"/>
        </w:rPr>
      </w:pPr>
      <w:r w:rsidRPr="00EB7AF8">
        <w:rPr>
          <w:spacing w:val="2"/>
          <w:szCs w:val="20"/>
          <w:lang w:val="en-ID"/>
        </w:rPr>
        <w:t>The capacity to be responsible subsequently plays a decisive role in determining whether an individual may be subjected to punishment. Incapacity to be responsible due to youth cannot be directly inferred from Article 44 of the Criminal Code. According to the prevailing view, incapacity to be responsible constitutes a general ground for excluding punishment that may be derived from various specific grounds, as contained in Articles 44, 48, 49, 50, and 51 of the Criminal Code. A person may be deemed incapable of bearing responsibility not only because of a defective mental development or mental disorder, but also because of young age, hypnotic influence, or other conditions that impede awareness and control of conduct (Saleh, 1983). Thus, incapacity to be responsible refers to various circumstances that limit the perpetrator’s ability to comprehend and regulate his or her behavior.</w:t>
      </w:r>
    </w:p>
    <w:p w14:paraId="33CBC8DF" w14:textId="77777777" w:rsidR="00EB7AF8" w:rsidRPr="00EB7AF8" w:rsidRDefault="00EB7AF8" w:rsidP="00EB7AF8">
      <w:pPr>
        <w:pStyle w:val="Ventura-Content"/>
        <w:rPr>
          <w:spacing w:val="2"/>
          <w:szCs w:val="20"/>
          <w:lang w:val="en-ID"/>
        </w:rPr>
      </w:pPr>
      <w:r w:rsidRPr="00EB7AF8">
        <w:rPr>
          <w:spacing w:val="2"/>
          <w:szCs w:val="20"/>
          <w:lang w:val="en-ID"/>
        </w:rPr>
        <w:t xml:space="preserve">Not every unlawful act automatically warrants the imposition of punishment, because the presence of fault constitutes an additional requirement that must be satisfied. Punishment cannot be justified solely on the fact that a person has committed an act that is prohibited or contrary to law. Even where the act conforms to the statutory definition of an offense and is not justified, punishment may not yet be imposed if fault (subjective guilt) has not been </w:t>
      </w:r>
      <w:r w:rsidRPr="00EB7AF8">
        <w:rPr>
          <w:spacing w:val="2"/>
          <w:szCs w:val="20"/>
          <w:lang w:val="en-ID"/>
        </w:rPr>
        <w:lastRenderedPageBreak/>
        <w:t>established. Within this framework, the principle “no punishment without fault” (keine Strafe ohne Schuld or geen straf zonder schuld), which in Latin is formulated as nulla poena sine culpa, applies, where “culpa” is understood in a broad sense to include intent. Fault itself comprises several elements, namely: (1) the existence of capacity for responsibility on the part of the perpetrator (Schuldfähigkeit or Zurechnungsfähigkeit), which presupposes a normal mental condition; (2) the existence of an inner connection between the perpetrator and the act in the form of intent (dolus) or negligence (culpa) as manifestations of fault; and (3) the absence of grounds for excuse that eliminate fault. Punishment can only be imposed if these three elements are cumulatively fulfilled.</w:t>
      </w:r>
    </w:p>
    <w:p w14:paraId="2BE5D4A7" w14:textId="77777777" w:rsidR="00EB7AF8" w:rsidRPr="00EB7AF8" w:rsidRDefault="00EB7AF8" w:rsidP="00EB7AF8">
      <w:pPr>
        <w:pStyle w:val="Ventura-Content"/>
        <w:rPr>
          <w:spacing w:val="2"/>
          <w:szCs w:val="20"/>
          <w:lang w:val="en-ID"/>
        </w:rPr>
      </w:pPr>
      <w:r w:rsidRPr="00EB7AF8">
        <w:rPr>
          <w:spacing w:val="2"/>
          <w:szCs w:val="20"/>
          <w:lang w:val="en-ID"/>
        </w:rPr>
        <w:t>A perpetrator of a criminal act may be declared responsible only if the act is accompanied by fault that can be attributed to him or her. If all elements of fault are fulfilled, the perpetrator may be declared guilty and thus held criminally responsible. Nevertheless, debate among scholars regarding how to formulate and interpret the concept of fault continues. Divergent understandings of fault directly influence the limits and scope of criminal responsibility. Within the concept of a criminal offense, the aspect of criminal responsibility is attached to the perpetrator. A criminal offense refers to conduct that is prohibited and threatened with punishment, but the perpetrator need not always be subjected to the prescribed penalty, since this depends on the presence or absence of fault. The maxim “no punishment without fault” (geen straf zonder schuld; actus non facit reum nisi mens sit rea) affirms that the absence of fault precludes punishment, even though the act committed satisfies the statutory definition of an offense.</w:t>
      </w:r>
    </w:p>
    <w:p w14:paraId="2B1BC2A4" w14:textId="77777777" w:rsidR="00EB7AF8" w:rsidRPr="00EB7AF8" w:rsidRDefault="00EB7AF8" w:rsidP="00EB7AF8">
      <w:pPr>
        <w:pStyle w:val="Ventura-Content"/>
        <w:rPr>
          <w:spacing w:val="2"/>
          <w:szCs w:val="20"/>
          <w:lang w:val="en-ID"/>
        </w:rPr>
      </w:pPr>
      <w:r w:rsidRPr="00EB7AF8">
        <w:rPr>
          <w:spacing w:val="2"/>
          <w:szCs w:val="20"/>
          <w:lang w:val="en-ID"/>
        </w:rPr>
        <w:t xml:space="preserve">In criminal law, the capacity to be blamed is a primary precondition for punishment, so that not every harmful or dangerous act results in criminal sanctions. A person who cannot be blamed because he or she has not violated a criminal provision cannot be punished, even if that person is known to be of bad character, miserly, unwilling to help others, or highly negligent. Even where an individual has committed a criminal offense, punishment is not always justified. For instance, a child who plays with matches and ignites them on the wall of a neighbor’s house, thereby creating a public danger to property and persons as contemplated in Article 187 of the Criminal Code, cannot be held criminally responsible. Although the child’s act results in the burning of the neighbor’s </w:t>
      </w:r>
      <w:r w:rsidRPr="00EB7AF8">
        <w:rPr>
          <w:spacing w:val="2"/>
          <w:szCs w:val="20"/>
          <w:lang w:val="en-ID"/>
        </w:rPr>
        <w:t>house in the sense contemplated by Article 188 of the Criminal Code, the child cannot be subjected to criminal liability. Article 187 of the Criminal Code threatens with imprisonment anyone who intentionally causes fire, explosion, or flooding, with varying penalties depending on the danger caused, whereas Article 188 regulates penalties for similar acts committed negligently. This example illustrates that even when the elements of an offense are fulfilled, incapacity to be responsible may preclude the application of punishment.</w:t>
      </w:r>
    </w:p>
    <w:p w14:paraId="6306DB5A" w14:textId="77777777" w:rsidR="00EB7AF8" w:rsidRPr="00EB7AF8" w:rsidRDefault="00EB7AF8" w:rsidP="00EB7AF8">
      <w:pPr>
        <w:pStyle w:val="Ventura-Content"/>
        <w:rPr>
          <w:spacing w:val="2"/>
          <w:szCs w:val="20"/>
          <w:lang w:val="en-ID"/>
        </w:rPr>
      </w:pPr>
      <w:r w:rsidRPr="00EB7AF8">
        <w:rPr>
          <w:spacing w:val="2"/>
          <w:szCs w:val="20"/>
          <w:lang w:val="en-ID"/>
        </w:rPr>
        <w:t>The concept of fault as the core of criminal responsibility is further elaborated by legal scholars. Van Hammel characterizes fault in an offense as a psychological concept, namely the relationship between the perpetrator’s inner state and the realization of the elements of the offense through his or her conduct. Fault constitutes a form of responsibility in law (schuld is de verantwoordelijkheid rechtens). Simons adds that fault encompasses the presence of a particular mental state in the perpetrator and the relationship between that mental state and the act committed, in such a manner that the perpetrator may be reproached for his or her conduct. Accordingly, in order to affirm the existence of fault, it must be established that: (1) there is a particular mental state; and (2) there is a specific relationship between that mental state and the act committed (Saleh, 1983). With regard to child perpetrators who are still relatively young, Roeslan Saleh is of the view that in certain circumstances incapacity to be responsible must be based on Article 44 of the Criminal Code, as is the case for adults. In his opinion, youth alone is insufficient to justify incapacity to be responsible. However, children who commit criminal acts are generally not regarded as being at fault, because they do not yet fully understand or realize the meaning of their conduct. Children possess immature psychological characteristics, and their inner faculties are not yet fully developed, so they cannot be said to possess intent or negligence in the legal sense. Since one element of fault is not fulfilled, children are deemed not guilty; in line with the principle of no punishment without fault, children who are not of sufficient age are not fit to be punished. This situation reinforces the principle of nulla poena sine culpa as a primary guide in determining the limits of criminal responsibility.</w:t>
      </w:r>
    </w:p>
    <w:p w14:paraId="1919FA5E" w14:textId="77777777" w:rsidR="00EB7AF8" w:rsidRPr="00EB7AF8" w:rsidRDefault="00EB7AF8" w:rsidP="00EB7AF8">
      <w:pPr>
        <w:pStyle w:val="Ventura-Content"/>
        <w:rPr>
          <w:spacing w:val="2"/>
          <w:szCs w:val="20"/>
          <w:lang w:val="en-ID"/>
        </w:rPr>
      </w:pPr>
      <w:r w:rsidRPr="00EB7AF8">
        <w:rPr>
          <w:spacing w:val="2"/>
          <w:szCs w:val="20"/>
          <w:lang w:val="en-ID"/>
        </w:rPr>
        <w:t xml:space="preserve">By placing the principle of legality, the element of fault, and the capacity for responsibility as its main pillars, the criminal law system endeavors to ensure that punishment is applied in a proportional </w:t>
      </w:r>
      <w:r w:rsidRPr="00EB7AF8">
        <w:rPr>
          <w:spacing w:val="2"/>
          <w:szCs w:val="20"/>
          <w:lang w:val="en-ID"/>
        </w:rPr>
        <w:lastRenderedPageBreak/>
        <w:t>and just manner and in a way that respects human dignity, so that every imposition of punishment truly reflects responsibility that is legitimate and defensible both juridically and morally.</w:t>
      </w:r>
    </w:p>
    <w:p w14:paraId="22682C26" w14:textId="7F6C9112" w:rsidR="008E3AAF" w:rsidRPr="008E3AAF" w:rsidRDefault="008E3AAF" w:rsidP="008E3AAF">
      <w:pPr>
        <w:pStyle w:val="Ventura-Content"/>
        <w:rPr>
          <w:szCs w:val="20"/>
          <w:lang w:val="en-ID"/>
        </w:rPr>
      </w:pPr>
    </w:p>
    <w:p w14:paraId="61B99B80" w14:textId="708B6741" w:rsidR="00C07C48" w:rsidRDefault="00EB7AF8" w:rsidP="008632E8">
      <w:pPr>
        <w:pStyle w:val="Ventura-Content"/>
        <w:ind w:firstLine="0"/>
        <w:rPr>
          <w:b/>
          <w:bCs/>
          <w:color w:val="1F497D" w:themeColor="text2"/>
          <w:szCs w:val="20"/>
          <w:lang w:val="id-ID"/>
        </w:rPr>
      </w:pPr>
      <w:r w:rsidRPr="00EB7AF8">
        <w:rPr>
          <w:b/>
          <w:bCs/>
          <w:color w:val="1F497D" w:themeColor="text2"/>
          <w:szCs w:val="20"/>
        </w:rPr>
        <w:t>Theoretical Basis of Patient Autonomy</w:t>
      </w:r>
    </w:p>
    <w:p w14:paraId="7B65886E" w14:textId="77777777" w:rsidR="00EB7AF8" w:rsidRPr="00EB7AF8" w:rsidRDefault="00EB7AF8" w:rsidP="00EB7AF8">
      <w:pPr>
        <w:pStyle w:val="Ventura-Content"/>
        <w:ind w:firstLine="0"/>
        <w:rPr>
          <w:spacing w:val="2"/>
          <w:szCs w:val="20"/>
          <w:lang w:val="en-ID"/>
        </w:rPr>
      </w:pPr>
      <w:r w:rsidRPr="00EB7AF8">
        <w:rPr>
          <w:spacing w:val="2"/>
          <w:szCs w:val="20"/>
          <w:lang w:val="en-ID"/>
        </w:rPr>
        <w:t>Patient autonomy occupies a central position in the medical relationship, because the patient’s right to determine the medical interventions received constitutes the legal basis for the legitimacy of any intervention on his or her body (Roihanah, 2019). The principle of autonomy is directly related to the patient’s capacity to make medical decisions consciously, from which arises the right to make medical decisions freely regarding treatment that concerns the patient personally (Umam, 2022). From this perspective, every medical intervention carried out without respect for patient autonomy has the potential to shift the patient from a subject who exercises sovereignty over his or her own body to an object of medical professional decision making.</w:t>
      </w:r>
    </w:p>
    <w:p w14:paraId="012FDF39" w14:textId="77777777" w:rsidR="00EB7AF8" w:rsidRPr="00EB7AF8" w:rsidRDefault="00EB7AF8" w:rsidP="00EB7AF8">
      <w:pPr>
        <w:pStyle w:val="Ventura-Content"/>
        <w:rPr>
          <w:spacing w:val="2"/>
          <w:szCs w:val="20"/>
          <w:lang w:val="en-ID"/>
        </w:rPr>
      </w:pPr>
      <w:r w:rsidRPr="00EB7AF8">
        <w:rPr>
          <w:spacing w:val="2"/>
          <w:szCs w:val="20"/>
          <w:lang w:val="en-ID"/>
        </w:rPr>
        <w:t>Dworkin and several other philosophers position autonomy as a central pillar of the principle of justice and as the normative foundation of the practice of patient informed consent. Ronald Dworkin, John Rawls, Thomas Scanlon, and Robert P. Wolff understand autonomy as an integral component of the characteristics of principles of justice (Dworkin, 2015). In his article on liberalism, Dworkin does not explicitly employ the term autonomy, but in elaborating the element of equality in justice he emphasizes the necessity of equal respect for the autonomy of citizens. Discussions on informed consent and its rational basis essentially refer to respect for patient autonomy (Dworkin, 2015). In practice, the procedure of informed consent constitutes a concrete expression of the recognition of individual autonomy, because it requires the provision of adequate information, sufficient understanding, and freely given consent before any medical intervention is performed (Yohanes et al., 2022).</w:t>
      </w:r>
    </w:p>
    <w:p w14:paraId="2493398B" w14:textId="77777777" w:rsidR="00EB7AF8" w:rsidRPr="00EB7AF8" w:rsidRDefault="00EB7AF8" w:rsidP="00EB7AF8">
      <w:pPr>
        <w:pStyle w:val="Ventura-Content"/>
        <w:rPr>
          <w:spacing w:val="2"/>
          <w:szCs w:val="20"/>
          <w:lang w:val="en-ID"/>
        </w:rPr>
      </w:pPr>
      <w:r w:rsidRPr="00EB7AF8">
        <w:rPr>
          <w:spacing w:val="2"/>
          <w:szCs w:val="20"/>
          <w:lang w:val="en-ID"/>
        </w:rPr>
        <w:t xml:space="preserve">The conception of justice in John Rawls’s thought provides an additional theoretical framework for assessing how patient autonomy and rights should be guaranteed. Rawls formulates two principles of justice, namely equality of rights to basic liberties and the regulation of social and economic inequalities in such a way that they benefit all members of society. For Rawls, injustice arises when inequalities fail to generate benefits that can reasonably be perceived by all parties. In this regard, he employs the element of benefit as an </w:t>
      </w:r>
      <w:r w:rsidRPr="00EB7AF8">
        <w:rPr>
          <w:spacing w:val="2"/>
          <w:szCs w:val="20"/>
          <w:lang w:val="en-ID"/>
        </w:rPr>
        <w:t>indicator of injustice (Rawls, 1999). This element of benefit is in line with Gustav Radbruch’s formulation when discussing justice and the utility of law. According to Radbruch, utility is related to efforts to determine the content of law and the results of law by considering the feasibility of implementing legal norms and the consequences they produce. He refers to utility or purposiveness as one of the fundamental values of law, alongside justice and legal certainty: “……Alongside legal certainty, there are two other values: utility (purposiveness) and justice.” (Rawls, 1999). Thus, for both Rawls and Radbruch, the absence of benefit for the parties serves as a strong indicator of injustice, which renders the element of utility relevant in the assessment of justice and legal effectiveness.</w:t>
      </w:r>
    </w:p>
    <w:p w14:paraId="3F1346F0" w14:textId="77777777" w:rsidR="00EB7AF8" w:rsidRPr="00EB7AF8" w:rsidRDefault="00EB7AF8" w:rsidP="00EB7AF8">
      <w:pPr>
        <w:pStyle w:val="Ventura-Content"/>
        <w:rPr>
          <w:spacing w:val="2"/>
          <w:szCs w:val="20"/>
          <w:lang w:val="en-ID"/>
        </w:rPr>
      </w:pPr>
      <w:r w:rsidRPr="00EB7AF8">
        <w:rPr>
          <w:spacing w:val="2"/>
          <w:szCs w:val="20"/>
          <w:lang w:val="en-ID"/>
        </w:rPr>
        <w:t>Radbruch conceives of law as an instrument for the attainment of justice, which is operationalized through three core values, namely utility (purposiveness), justice, and legal certainty. Within this framework, law is not understood merely as a collection of positive rules, but as an instrument for realizing justice through the harmonious application of these three elements. Radbruch emphasizes that justice as the idea of law is realized through a balance among utility, justice, and legal certainty, so that all three must be considered proportionately when a legal event is evaluated. To analyze a case philosophically, Radbruch proposes a concept of law that encompasses the elements of utility, justice, and legal certainty (Radbruch, 1950). Through this approach, the assessment of the content of a case, the form of regulation, and its legal validity is directed toward ensuring that utility, justice, and legal certainty do not negate one another. Consequently, in evaluating cases involving patients, these three elements must be presented in a balanced manner so that justice as the idea of law can be genuinely actualized.</w:t>
      </w:r>
    </w:p>
    <w:p w14:paraId="6195486E" w14:textId="77777777" w:rsidR="00EB7AF8" w:rsidRPr="00EB7AF8" w:rsidRDefault="00EB7AF8" w:rsidP="00EB7AF8">
      <w:pPr>
        <w:pStyle w:val="Ventura-Content"/>
        <w:rPr>
          <w:spacing w:val="2"/>
          <w:szCs w:val="20"/>
          <w:lang w:val="en-ID"/>
        </w:rPr>
      </w:pPr>
      <w:r w:rsidRPr="00EB7AF8">
        <w:rPr>
          <w:spacing w:val="2"/>
          <w:szCs w:val="20"/>
          <w:lang w:val="en-ID"/>
        </w:rPr>
        <w:t xml:space="preserve">The element of utility within this conceptual framework demonstrates the close connection between individual rights and freedom and positions rights as an essential foundation for realizing justice for patients. Utility linked to access to individual rights, particularly the right to self-determination, shows that freedom is an essential component of the human person as a legal subject. Chandradiningrum (2015) affirms that patients are legal subjects who possess autonomy to make medical decisions concerning themselves, as long as they have the capacity to provide valid consent. Therefore, discussions of justice for patients are invariably and closely related to discussions of </w:t>
      </w:r>
      <w:r w:rsidRPr="00EB7AF8">
        <w:rPr>
          <w:spacing w:val="2"/>
          <w:szCs w:val="20"/>
          <w:lang w:val="en-ID"/>
        </w:rPr>
        <w:lastRenderedPageBreak/>
        <w:t>patient rights and freedoms. Justice cannot be understood as if it were detached from the rights inherent in human beings. Although justice belongs to the realm of philosophy and contains an abstract dimension, efforts to achieve it essentially constitute an attempt to uphold human rights inherent in every individual as a legal subject. Thus, the formulation and implementation of justice for patients require the recognition and advancement of fundamental rights and individual freedoms, particularly patient autonomy in making medical decisions concerning their bodies and lives.</w:t>
      </w:r>
    </w:p>
    <w:p w14:paraId="37088106" w14:textId="77777777" w:rsidR="00EB7AF8" w:rsidRPr="00EB7AF8" w:rsidRDefault="00EB7AF8" w:rsidP="00EB7AF8">
      <w:pPr>
        <w:pStyle w:val="Ventura-Content"/>
        <w:rPr>
          <w:spacing w:val="2"/>
          <w:szCs w:val="20"/>
          <w:lang w:val="en-ID"/>
        </w:rPr>
      </w:pPr>
      <w:r w:rsidRPr="00EB7AF8">
        <w:rPr>
          <w:spacing w:val="2"/>
          <w:szCs w:val="20"/>
          <w:lang w:val="en-ID"/>
        </w:rPr>
        <w:t>By interlinking autonomy, rights, utility, justice, and legal certainty within a single coherent framework of thought, the study of patient autonomy and informed consent is expected to generate normative formulations and practical applications that respect human dignity and at the same time provide tangible legal protection in every medical intervention (Trihastuti et al., 2020).</w:t>
      </w:r>
    </w:p>
    <w:p w14:paraId="15E2110C" w14:textId="77777777" w:rsidR="007A061C" w:rsidRDefault="007A061C" w:rsidP="001076AD">
      <w:pPr>
        <w:pStyle w:val="Ventura-Content"/>
        <w:ind w:left="360" w:firstLine="360"/>
        <w:rPr>
          <w:szCs w:val="20"/>
          <w:lang w:val="id-ID"/>
        </w:rPr>
      </w:pPr>
    </w:p>
    <w:p w14:paraId="7982C48A" w14:textId="4F8D88C6" w:rsidR="003C0639" w:rsidRDefault="00EB7AF8" w:rsidP="002F54D3">
      <w:pPr>
        <w:pStyle w:val="Ventura-Content"/>
        <w:ind w:firstLine="0"/>
        <w:rPr>
          <w:b/>
          <w:bCs/>
          <w:color w:val="1F497D" w:themeColor="text2"/>
          <w:szCs w:val="20"/>
          <w:lang w:val="id-ID"/>
        </w:rPr>
      </w:pPr>
      <w:r w:rsidRPr="00EB7AF8">
        <w:rPr>
          <w:b/>
          <w:bCs/>
          <w:color w:val="1F497D" w:themeColor="text2"/>
          <w:szCs w:val="20"/>
        </w:rPr>
        <w:t>Criminalization of Patient Autonomy Violations</w:t>
      </w:r>
    </w:p>
    <w:p w14:paraId="1777186C" w14:textId="77777777" w:rsidR="00EB7AF8" w:rsidRPr="00EB7AF8" w:rsidRDefault="00EB7AF8" w:rsidP="00EB7AF8">
      <w:pPr>
        <w:rPr>
          <w:rFonts w:ascii="Book Antiqua" w:hAnsi="Book Antiqua"/>
          <w:spacing w:val="2"/>
          <w:szCs w:val="18"/>
          <w:lang w:val="en-ID"/>
        </w:rPr>
      </w:pPr>
      <w:r w:rsidRPr="00EB7AF8">
        <w:rPr>
          <w:rFonts w:ascii="Book Antiqua" w:hAnsi="Book Antiqua"/>
          <w:spacing w:val="2"/>
          <w:szCs w:val="18"/>
          <w:lang w:val="en-ID"/>
        </w:rPr>
        <w:t>The imposition of criminal sanctions for violations of patient autonomy depends on two principal prerequisites, namely the classification of the act as a criminal offense and the presence of criminal responsibility on the part of the perpetrator, which in medical practice is often assessed through the existence or absence of the patient’s consent. Sentencing is essentially the process of determining and imposing sanctions on a person who has committed a crime (rechtsdelict) or a violation (wetsdelict), and is therefore understood in criminal law as the stage of affirming and enforcing sanctions (Zaini, 2019). In cases involving violations of patient autonomy, criminal punishment rests on two fundamental considerations. First, there must be recognition that a violation of patient autonomy can be constructed as a criminal act. Second, there must be a perpetrator who can, in juridical terms, be held criminally responsible for that act. From a juridical perspective, patient autonomy is assessed through the consent given by the patient. Several scholars reduce this consent to the notion of approval of a medical intervention. Approval of a medical intervention is positioned as a decision produced at the pre-implementation stage of the informed consent process (Yohanes et al., 2022). Accordingly, the criminalization of violations of patient autonomy is closely tied to the existence of the patient’s consent, which serves as a key criterion for determining the legality of medical interventions within the legal framework (Roihanah, 2019).</w:t>
      </w:r>
    </w:p>
    <w:p w14:paraId="4EF0A9EC" w14:textId="77777777" w:rsidR="00EB7AF8" w:rsidRPr="00EB7AF8" w:rsidRDefault="00EB7AF8" w:rsidP="00EB7AF8">
      <w:pPr>
        <w:ind w:firstLine="360"/>
        <w:rPr>
          <w:rFonts w:ascii="Book Antiqua" w:hAnsi="Book Antiqua"/>
          <w:spacing w:val="2"/>
          <w:szCs w:val="18"/>
          <w:lang w:val="en-ID"/>
        </w:rPr>
      </w:pPr>
      <w:r w:rsidRPr="00EB7AF8">
        <w:rPr>
          <w:rFonts w:ascii="Book Antiqua" w:hAnsi="Book Antiqua"/>
          <w:spacing w:val="2"/>
          <w:szCs w:val="18"/>
          <w:lang w:val="en-ID"/>
        </w:rPr>
        <w:t>To date, there is no regulation that explicitly and unequivocally formulates criminal offenses related to violations of the principle of patient autonomy, whether autonomy is understood as consent to a medical intervention in a narrow sense or as an ongoing dialogical process. When the principle of autonomy is understood simply as the patient’s act of decision making embodied in consent to a medical intervention, violations of this principle have not yet resulted in the formulation of a specific offense that directly regulates infringements of patient autonomy. This is all the more so if autonomy is conceived broadly as a temporal, dialogical process, since there is still no provision that clearly classifies its violation as a criminal act. As a result, whether understood in a narrow or broad sense, patient autonomy has not yet received explicit criminal law protection, and violations of this principle are not clearly accommodated within the current sentencing framework.</w:t>
      </w:r>
    </w:p>
    <w:p w14:paraId="01B38F8A" w14:textId="77777777" w:rsidR="00EB7AF8" w:rsidRPr="00EB7AF8" w:rsidRDefault="00EB7AF8" w:rsidP="00EB7AF8">
      <w:pPr>
        <w:ind w:firstLine="360"/>
        <w:rPr>
          <w:rFonts w:ascii="Book Antiqua" w:hAnsi="Book Antiqua"/>
          <w:spacing w:val="2"/>
          <w:szCs w:val="18"/>
          <w:lang w:val="en-ID"/>
        </w:rPr>
      </w:pPr>
      <w:r w:rsidRPr="00EB7AF8">
        <w:rPr>
          <w:rFonts w:ascii="Book Antiqua" w:hAnsi="Book Antiqua"/>
          <w:spacing w:val="2"/>
          <w:szCs w:val="18"/>
          <w:lang w:val="en-ID"/>
        </w:rPr>
        <w:t>This ambiguity is reflected in the Medical Practice Act and the Health Act, which do not yet provide explicit regulation of the protection of the principle of patient autonomy from a criminal law perspective. Article 79 of the Medical Practice Act does stipulate that violations of professional standards and standard operating procedures (SOP) constitute criminal acts that may be sanctioned with fines or imprisonment. A crucial issue nevertheless arises, namely whether informed consent is included within professional standards and SOPs, given that what has generally been formulated to date are standards for disease management rather than explicit standards regarding consent to medical interventions (Trihastuti et al., 2020). Article 79 of Law No. 29 of 2004 prescribes a maximum penalty of one year of imprisonment or a fine of up to Rp50,000,000.00 for physicians or dentists who intentionally fail to display a nameplate as required by Article 41 paragraph (1), fail to prepare medical records as stipulated in Article 46 paragraph (1), or fail to fulfill their obligations as formulated in Article 51 letters a through e. The lack of clarity regarding the position of informed consent within the framework of professional standards creates uncertainty as to the effectiveness of Article 79 as a legal basis for the criminalization of violations of patient autonomy.</w:t>
      </w:r>
    </w:p>
    <w:p w14:paraId="60965B93" w14:textId="77777777" w:rsidR="00EB7AF8" w:rsidRPr="00EB7AF8" w:rsidRDefault="00EB7AF8" w:rsidP="00EB7AF8">
      <w:pPr>
        <w:ind w:firstLine="360"/>
        <w:rPr>
          <w:rFonts w:ascii="Book Antiqua" w:hAnsi="Book Antiqua"/>
          <w:spacing w:val="2"/>
          <w:szCs w:val="18"/>
          <w:lang w:val="en-ID"/>
        </w:rPr>
      </w:pPr>
      <w:r w:rsidRPr="00EB7AF8">
        <w:rPr>
          <w:rFonts w:ascii="Book Antiqua" w:hAnsi="Book Antiqua"/>
          <w:spacing w:val="2"/>
          <w:szCs w:val="18"/>
          <w:lang w:val="en-ID"/>
        </w:rPr>
        <w:t xml:space="preserve">Article 51 of Law No. 29 of 2004 itself sets out the ethical and professional obligations that must be observed by physicians and dentists. This provision requires that, in the practice of medicine, physicians and dentists provide medical services in accordance </w:t>
      </w:r>
      <w:r w:rsidRPr="00EB7AF8">
        <w:rPr>
          <w:rFonts w:ascii="Book Antiqua" w:hAnsi="Book Antiqua"/>
          <w:spacing w:val="2"/>
          <w:szCs w:val="18"/>
          <w:lang w:val="en-ID"/>
        </w:rPr>
        <w:lastRenderedPageBreak/>
        <w:t>with professional standards, standard operating procedures, and the medical needs of patients; refer patients to other medical personnel with greater expertise when they are unable to carry out examination or treatment; maintain the confidentiality of all information obtained about patients, including after the patient has died; provide emergency assistance on humanitarian grounds, unless it is certain that another competent party is able and authorized to provide such assistance; and continuously update their knowledge and keep abreast of developments in medical or dental science. These obligations delineate an ethical framework oriented toward professionalism, respect for confidentiality, humanitarian concern, and the continuous development of scientific competence, although they do not yet explicitly affirm violations of patient autonomy as a distinct criminal offense.</w:t>
      </w:r>
    </w:p>
    <w:p w14:paraId="03440A53" w14:textId="77777777" w:rsidR="00EB7AF8" w:rsidRPr="00EB7AF8" w:rsidRDefault="00EB7AF8" w:rsidP="00EB7AF8">
      <w:pPr>
        <w:ind w:firstLine="360"/>
        <w:rPr>
          <w:rFonts w:ascii="Book Antiqua" w:hAnsi="Book Antiqua"/>
          <w:spacing w:val="2"/>
          <w:szCs w:val="18"/>
          <w:lang w:val="en-ID"/>
        </w:rPr>
      </w:pPr>
      <w:r w:rsidRPr="00EB7AF8">
        <w:rPr>
          <w:rFonts w:ascii="Book Antiqua" w:hAnsi="Book Antiqua"/>
          <w:spacing w:val="2"/>
          <w:szCs w:val="18"/>
          <w:lang w:val="en-ID"/>
        </w:rPr>
        <w:t>In the common law tradition, violations of the principle of patient autonomy are treated more decisively, because medical interventions carried out without valid consent are understood as a form of criminal wrongdoing. A number of legal scholars argue that medical interventions undertaken without the patient’s valid consent can be classified as battery in legal terms, thereby enabling both civil and criminal liability. Within such a construction, violations of the principle of autonomy, including those that do not result in physical injury, may be regarded as criminal acts.</w:t>
      </w:r>
    </w:p>
    <w:p w14:paraId="644CB631" w14:textId="77777777" w:rsidR="00EB7AF8" w:rsidRPr="00EB7AF8" w:rsidRDefault="00EB7AF8" w:rsidP="00EB7AF8">
      <w:pPr>
        <w:ind w:firstLine="360"/>
        <w:rPr>
          <w:rFonts w:ascii="Book Antiqua" w:hAnsi="Book Antiqua"/>
          <w:spacing w:val="2"/>
          <w:szCs w:val="18"/>
          <w:lang w:val="en-ID"/>
        </w:rPr>
      </w:pPr>
      <w:r w:rsidRPr="00EB7AF8">
        <w:rPr>
          <w:rFonts w:ascii="Book Antiqua" w:hAnsi="Book Antiqua"/>
          <w:spacing w:val="2"/>
          <w:szCs w:val="18"/>
          <w:lang w:val="en-ID"/>
        </w:rPr>
        <w:t xml:space="preserve">From the standpoint of criminal law, violations of the principle of autonomy encompass events that do not result in physical harm as well as those that cause physical injury. Both types of events may be classified as criminal acts to the extent that there is a violation of the patient’s autonomous rights. Nevertheless, in Indonesian practice, the provisions commonly used to prosecute perpetrators of medical malpractice tend to refer to general provisions in the Criminal Code (KUHP), such as Articles 359, 360, and 361. Several commentators, including Damayanti and Zakaria (2015), have argued that these provisions are relevant to criminal liability in cases of medical malpractice. Similar views are advanced by Diputra and Griadhi, who link the criminal responsibility of physicians to Article 90, Article 359, Article 360 paragraphs (1) and (2), and Article 361 of the Criminal Code. However, these provisions do not in fact have a direct causal connection to the unlawfulness arising from violations of patient autonomy, because they focus primarily on physical consequences in the form of injury or death. Establishing a causal </w:t>
      </w:r>
      <w:r w:rsidRPr="00EB7AF8">
        <w:rPr>
          <w:rFonts w:ascii="Book Antiqua" w:hAnsi="Book Antiqua"/>
          <w:spacing w:val="2"/>
          <w:szCs w:val="18"/>
          <w:lang w:val="en-ID"/>
        </w:rPr>
        <w:t>relationship is crucial for determining the element of unlawfulness, which then serves as the basis for criminal responsibility, whereas violations of autonomy are often primarily non-physical in nature.</w:t>
      </w:r>
    </w:p>
    <w:p w14:paraId="6DF65DCD" w14:textId="77777777" w:rsidR="00EB7AF8" w:rsidRPr="00EB7AF8" w:rsidRDefault="00EB7AF8" w:rsidP="00EB7AF8">
      <w:pPr>
        <w:ind w:firstLine="360"/>
        <w:rPr>
          <w:rFonts w:ascii="Book Antiqua" w:hAnsi="Book Antiqua"/>
          <w:spacing w:val="2"/>
          <w:szCs w:val="18"/>
          <w:lang w:val="en-ID"/>
        </w:rPr>
      </w:pPr>
      <w:r w:rsidRPr="00EB7AF8">
        <w:rPr>
          <w:rFonts w:ascii="Book Antiqua" w:hAnsi="Book Antiqua"/>
          <w:spacing w:val="2"/>
          <w:szCs w:val="18"/>
          <w:lang w:val="en-ID"/>
        </w:rPr>
        <w:t>The principle of patient autonomy has developed in societies that accord a prominent place to individualism and are grounded in the maxim do no harm. In such social environments, demands for respect for autonomy find broad space for expression, because medical interventions that disregard the patient’s consent are viewed as violations of the fundamental principle of avoiding harm. The analytical approach to medical cases involving violations of autonomy necessarily differs from that applied to cases of pure malpractice. In cases concerning autonomy, the focus lies on the quality of communication between the patient or family and the physician, as embodied in the mechanism of informed consent regarding the proposed intervention and its attendant risks (Roihanah, 2019). By contrast, medical malpractice emphasizes the element of error in the performance of medical interventions that deviate from the standards of medical science, professional standards, or standard operating procedures. These three standards rest upon medical ethics as their principal point of reference. Accordingly, violations of the principle of autonomy and medical malpractice are both intertwined with medical ethics as the normative foundation for professional standards and health care procedures.</w:t>
      </w:r>
    </w:p>
    <w:p w14:paraId="1F7976D0" w14:textId="77777777" w:rsidR="00EB7AF8" w:rsidRPr="00EB7AF8" w:rsidRDefault="00EB7AF8" w:rsidP="00EB7AF8">
      <w:pPr>
        <w:ind w:firstLine="360"/>
        <w:rPr>
          <w:rFonts w:ascii="Book Antiqua" w:hAnsi="Book Antiqua"/>
          <w:spacing w:val="2"/>
          <w:szCs w:val="18"/>
          <w:lang w:val="en-ID"/>
        </w:rPr>
      </w:pPr>
      <w:r w:rsidRPr="00EB7AF8">
        <w:rPr>
          <w:rFonts w:ascii="Book Antiqua" w:hAnsi="Book Antiqua"/>
          <w:spacing w:val="2"/>
          <w:szCs w:val="18"/>
          <w:lang w:val="en-ID"/>
        </w:rPr>
        <w:t>The degree of harm in violations of the principle of patient autonomy cannot simply be equated with the harm arising from medical errors of a physical nature. In cases involving violations of autonomy, for example where a patient is not asked for consent, the consequences may not take the form of physical injury, but the patient may experience psychological distress or other significant non-physical harms. By contrast, in cases where surgical scissors or other medical instruments are left inside the patient’s body after surgery, incorrect medication is administered, or an operative procedure is performed negligently, physical harm occurs directly. Although the form and impact of these events differ, both types of incidents result in harm to the patient. In this sense, both violations of autonomy and technical medical errors may give rise to tangible losses that warrant serious legal attention and a proportionate legal response.</w:t>
      </w:r>
    </w:p>
    <w:p w14:paraId="11CFCE6D" w14:textId="77777777" w:rsidR="00EB7AF8" w:rsidRPr="00EB7AF8" w:rsidRDefault="00EB7AF8" w:rsidP="00EB7AF8">
      <w:pPr>
        <w:ind w:firstLine="360"/>
        <w:rPr>
          <w:rFonts w:ascii="Book Antiqua" w:hAnsi="Book Antiqua"/>
          <w:spacing w:val="2"/>
          <w:szCs w:val="18"/>
          <w:lang w:val="en-ID"/>
        </w:rPr>
      </w:pPr>
      <w:r w:rsidRPr="00EB7AF8">
        <w:rPr>
          <w:rFonts w:ascii="Book Antiqua" w:hAnsi="Book Antiqua"/>
          <w:spacing w:val="2"/>
          <w:szCs w:val="18"/>
          <w:lang w:val="en-ID"/>
        </w:rPr>
        <w:t xml:space="preserve">Up to now, approaches to medical violations have often failed to begin from an understanding of the ontological dimensions of the various </w:t>
      </w:r>
      <w:r w:rsidRPr="00EB7AF8">
        <w:rPr>
          <w:rFonts w:ascii="Book Antiqua" w:hAnsi="Book Antiqua"/>
          <w:spacing w:val="2"/>
          <w:szCs w:val="18"/>
          <w:lang w:val="en-ID"/>
        </w:rPr>
        <w:lastRenderedPageBreak/>
        <w:t>disciplines involved. From the standpoint of ethical theory, ethics is essentially composed of three layers, namely meta-ethics, normative ethics, and practical ethics. Based on this distinction, bioethics can be situated as a form of applied ethics that is directly related to health services. The principle of patient autonomy is substantively part of biomedical ethics and should be firmly upheld by the medical profession. Beauchamp and Childress (2022) classify bioethics into four main principles, namely autonomy, beneficence, non-maleficence, and justice. These four principles constitute a moral framework that guides health practice, such that the disregard of patient autonomy represents a deviation from one of the principal pillars of bioethics.</w:t>
      </w:r>
    </w:p>
    <w:p w14:paraId="6C2EDC4C" w14:textId="5652B937" w:rsidR="00EB7AF8" w:rsidRPr="00EB7AF8" w:rsidRDefault="00EB7AF8" w:rsidP="00EB7AF8">
      <w:pPr>
        <w:ind w:firstLine="360"/>
        <w:rPr>
          <w:rFonts w:ascii="Book Antiqua" w:hAnsi="Book Antiqua"/>
          <w:spacing w:val="-2"/>
          <w:szCs w:val="18"/>
          <w:lang w:val="en-ID"/>
        </w:rPr>
      </w:pPr>
      <w:r w:rsidRPr="00EB7AF8">
        <w:rPr>
          <w:rFonts w:ascii="Book Antiqua" w:hAnsi="Book Antiqua"/>
          <w:spacing w:val="2"/>
          <w:szCs w:val="18"/>
          <w:lang w:val="en-ID"/>
        </w:rPr>
        <w:t>Feinberg offers another perspective by proposing that issues of patient autonomy should be formulated within the category of prohibitory norms as a basis for effective legal protection. In his view, the theory of consent to medical treatment, as implemented through informed consent, is rooted in a prohibitory norm, namely the prohibition against intervention without consent (Yohanes et al., 2022). This prohibitory norm can serve as a foundation for regulating violations of the principle of autonomy. The realization of the principle of autonomy should not be confined to the relationship between physician and patient as regulated in the Medical Practice Act, but should also extend to other health professionals, including nurses. In practice, hospital services involve cooperation among physicians, nurses, and other health personnel, including in processes of dialogue and communication with patients. In cases of negligence, the involvement of nurses in the provision of services is often examined, which indicates that physicians’ standard operating procedures are closely linked to the role of nurses. Therefore, the regulation of the princi</w:t>
      </w:r>
      <w:r w:rsidRPr="00EB7AF8">
        <w:rPr>
          <w:rFonts w:ascii="Book Antiqua" w:hAnsi="Book Antiqua"/>
          <w:spacing w:val="-2"/>
          <w:szCs w:val="18"/>
          <w:lang w:val="en-ID"/>
        </w:rPr>
        <w:t>ple of autonomy should ideally encompass all health personnel in an integrated manner, so that the protection of patients’ rights is realized comprehensively in health care practice</w:t>
      </w:r>
      <w:r w:rsidR="00D6216C" w:rsidRPr="00D6216C">
        <w:rPr>
          <w:rFonts w:ascii="Book Antiqua" w:hAnsi="Book Antiqua"/>
          <w:spacing w:val="-2"/>
          <w:szCs w:val="18"/>
          <w:lang w:val="en-ID"/>
        </w:rPr>
        <w:t xml:space="preserve"> (Simon, 2020)</w:t>
      </w:r>
      <w:r w:rsidRPr="00EB7AF8">
        <w:rPr>
          <w:rFonts w:ascii="Book Antiqua" w:hAnsi="Book Antiqua"/>
          <w:spacing w:val="-2"/>
          <w:szCs w:val="18"/>
          <w:lang w:val="en-ID"/>
        </w:rPr>
        <w:t>.</w:t>
      </w:r>
    </w:p>
    <w:p w14:paraId="5CC6525C" w14:textId="77777777" w:rsidR="00EB7AF8" w:rsidRPr="00EB7AF8" w:rsidRDefault="00EB7AF8" w:rsidP="00EB7AF8">
      <w:pPr>
        <w:ind w:firstLine="360"/>
        <w:rPr>
          <w:rFonts w:ascii="Book Antiqua" w:hAnsi="Book Antiqua"/>
          <w:szCs w:val="18"/>
          <w:lang w:val="en-ID"/>
        </w:rPr>
      </w:pPr>
      <w:r w:rsidRPr="00EB7AF8">
        <w:rPr>
          <w:rFonts w:ascii="Book Antiqua" w:hAnsi="Book Antiqua"/>
          <w:szCs w:val="18"/>
          <w:lang w:val="en-ID"/>
        </w:rPr>
        <w:t xml:space="preserve">In the common law system, the protection of patient autonomy is regarded as part of the protection of fundamental rights that is afforded at the highest possible level. Taking this system as a reference point, criminal offenses relating to violations of the principle of autonomy ought to be clearly formulated as crimes, including with respect to health personnel who perform medical or nursing interventions without the patient’s consent, whether or not such interventions result in physical injury. </w:t>
      </w:r>
      <w:r w:rsidRPr="00EB7AF8">
        <w:rPr>
          <w:rFonts w:ascii="Book Antiqua" w:hAnsi="Book Antiqua"/>
          <w:szCs w:val="18"/>
          <w:lang w:val="en-ID"/>
        </w:rPr>
        <w:t>Clear formulation of such offenses would provide a robust basis for establishing criminal responsibility for conduct that disregards patient autonomy.</w:t>
      </w:r>
    </w:p>
    <w:p w14:paraId="3F526BEA" w14:textId="77777777" w:rsidR="00EB7AF8" w:rsidRDefault="00EB7AF8" w:rsidP="00EB7AF8">
      <w:pPr>
        <w:ind w:firstLine="360"/>
        <w:rPr>
          <w:rFonts w:ascii="Book Antiqua" w:hAnsi="Book Antiqua"/>
          <w:spacing w:val="2"/>
          <w:szCs w:val="18"/>
          <w:lang w:val="en-ID"/>
        </w:rPr>
      </w:pPr>
      <w:r w:rsidRPr="00EB7AF8">
        <w:rPr>
          <w:rFonts w:ascii="Book Antiqua" w:hAnsi="Book Antiqua"/>
          <w:spacing w:val="2"/>
          <w:szCs w:val="18"/>
          <w:lang w:val="en-ID"/>
        </w:rPr>
        <w:t>By integrating ethical, juridical, and theoretical approaches, the criminalization of violations of the principle of patient autonomy can be expected to be formulated explicitly in positive law, so that a proper balance may be achieved between the protection of patient rights, legal certainty for health professionals, and the realization of justice in medical practice.</w:t>
      </w:r>
    </w:p>
    <w:p w14:paraId="587E8878" w14:textId="77777777" w:rsidR="00D6216C" w:rsidRPr="00EB7AF8" w:rsidRDefault="00D6216C" w:rsidP="00EB7AF8">
      <w:pPr>
        <w:ind w:firstLine="360"/>
        <w:rPr>
          <w:rFonts w:ascii="Book Antiqua" w:hAnsi="Book Antiqua"/>
          <w:spacing w:val="2"/>
          <w:szCs w:val="18"/>
          <w:lang w:val="en-ID"/>
        </w:rPr>
      </w:pPr>
    </w:p>
    <w:p w14:paraId="6EC333BE" w14:textId="77777777" w:rsidR="00EB7AF8" w:rsidRDefault="00EB7AF8" w:rsidP="006A0A09">
      <w:pPr>
        <w:rPr>
          <w:rFonts w:ascii="Book Antiqua" w:hAnsi="Book Antiqua"/>
          <w:b/>
          <w:bCs/>
          <w:color w:val="1F497D" w:themeColor="text2"/>
          <w:szCs w:val="20"/>
          <w:lang w:val="id-ID"/>
        </w:rPr>
      </w:pPr>
      <w:r w:rsidRPr="00EB7AF8">
        <w:rPr>
          <w:rFonts w:ascii="Book Antiqua" w:hAnsi="Book Antiqua"/>
          <w:b/>
          <w:bCs/>
          <w:color w:val="1F497D" w:themeColor="text2"/>
          <w:szCs w:val="20"/>
          <w:lang w:val="id-ID"/>
        </w:rPr>
        <w:t>Patient Autonomy and the Limits of Health Worker Paternalism in Therapeutic Contracts under Indonesian Positive Law</w:t>
      </w:r>
    </w:p>
    <w:p w14:paraId="6BDE9081" w14:textId="77777777" w:rsidR="00EB7AF8" w:rsidRPr="00EB7AF8" w:rsidRDefault="00EB7AF8" w:rsidP="00EB7AF8">
      <w:pPr>
        <w:rPr>
          <w:rFonts w:ascii="Book Antiqua" w:hAnsi="Book Antiqua"/>
          <w:szCs w:val="18"/>
          <w:lang w:val="en-ID"/>
        </w:rPr>
      </w:pPr>
      <w:r w:rsidRPr="00EB7AF8">
        <w:rPr>
          <w:rFonts w:ascii="Book Antiqua" w:hAnsi="Book Antiqua"/>
          <w:spacing w:val="2"/>
          <w:szCs w:val="18"/>
          <w:lang w:val="en-ID"/>
        </w:rPr>
        <w:t xml:space="preserve">The regulation of patient autonomy and the limits </w:t>
      </w:r>
      <w:r w:rsidRPr="00EB7AF8">
        <w:rPr>
          <w:rFonts w:ascii="Book Antiqua" w:hAnsi="Book Antiqua"/>
          <w:szCs w:val="18"/>
          <w:lang w:val="en-ID"/>
        </w:rPr>
        <w:t>of health care professionals’ paternalism within therapeutic contracts under Indonesian positive law rests on the legal relationship between patients and health care providers, which is constructed as a civil relationship and at the same time characterized by ethical and administrative dimensions. A therapeutic contract is essentially understood as an agreement between the patient and the physician (or other authorized health care professional) concerning the provision of medical services, which is subject to the general provisions on agreements in the Indonesian Civil Code (KUH Perdata), particularly Article 1313 and Article 1320 on the conditions for the validity of agreements. Within this framework, patient autonomy is reflected in the freedom of will (vrije wil) to accept or refuse medical interventions, whereas the paternalism of health care professionals is manifested in professional decisions taken in the interest of the patient’s health. Indonesian positive law seeks to balance these two interests so that respect for patients’ rights does not eliminate the professional role of health care providers in safeguarding the patient’s life and health.</w:t>
      </w:r>
    </w:p>
    <w:p w14:paraId="545A8871" w14:textId="46D7F2BB" w:rsidR="00EB7AF8" w:rsidRPr="00EB7AF8" w:rsidRDefault="00EB7AF8" w:rsidP="00EB7AF8">
      <w:pPr>
        <w:ind w:firstLine="360"/>
        <w:rPr>
          <w:rFonts w:ascii="Book Antiqua" w:hAnsi="Book Antiqua"/>
          <w:spacing w:val="2"/>
          <w:szCs w:val="18"/>
          <w:lang w:val="en-ID"/>
        </w:rPr>
      </w:pPr>
      <w:r w:rsidRPr="00EB7AF8">
        <w:rPr>
          <w:rFonts w:ascii="Book Antiqua" w:hAnsi="Book Antiqua"/>
          <w:spacing w:val="2"/>
          <w:szCs w:val="18"/>
          <w:lang w:val="en-ID"/>
        </w:rPr>
        <w:t xml:space="preserve">From a normative perspective, patient autonomy obtains a juridical foundation in several statutes, in particular Law Number 36 of 2009 on Health, Law Number 29 of 2004 on Medical Practice, and Law Number 44 of 2009 on Hospitals. The Health Law affirms the patient’s right to complete and honest information regarding diagnosis, the nature of medical interventions, alternative measures, risks, and prognosis, so that the patient has an adequate knowledge base prior to giving consent (Trihastuti et al., 2020). The Medical Practice Law obliges physicians to conduct their practice in accordance with professional standards and standard operating procedures, which include the duty to provide explanations and to obtain </w:t>
      </w:r>
      <w:r w:rsidRPr="00EB7AF8">
        <w:rPr>
          <w:rFonts w:ascii="Book Antiqua" w:hAnsi="Book Antiqua"/>
          <w:spacing w:val="2"/>
          <w:szCs w:val="18"/>
          <w:lang w:val="en-ID"/>
        </w:rPr>
        <w:lastRenderedPageBreak/>
        <w:t>consent for medical interventions. At the technical level, this right to autonomy is realized through the mechanism of informed consent, whether written or oral, which serves as a precondition for the validity of medical interventions. Thus, positive legal norms explicitly recognize the patient as a subject who is entitled to determine the interventions performed on his or her own person after receiving appropriate information</w:t>
      </w:r>
      <w:r w:rsidR="00D6216C">
        <w:rPr>
          <w:rFonts w:ascii="Book Antiqua" w:hAnsi="Book Antiqua"/>
          <w:spacing w:val="2"/>
          <w:szCs w:val="18"/>
          <w:lang w:val="en-ID"/>
        </w:rPr>
        <w:t xml:space="preserve"> (</w:t>
      </w:r>
      <w:r w:rsidR="00D6216C" w:rsidRPr="00D6216C">
        <w:rPr>
          <w:rFonts w:ascii="Book Antiqua" w:hAnsi="Book Antiqua"/>
          <w:spacing w:val="2"/>
          <w:szCs w:val="18"/>
          <w:lang w:val="en-ID"/>
        </w:rPr>
        <w:t>Sosiawan</w:t>
      </w:r>
      <w:r w:rsidR="00D6216C">
        <w:rPr>
          <w:rFonts w:ascii="Book Antiqua" w:hAnsi="Book Antiqua"/>
          <w:spacing w:val="2"/>
          <w:szCs w:val="18"/>
          <w:lang w:val="en-ID"/>
        </w:rPr>
        <w:t xml:space="preserve"> et al., 2023)</w:t>
      </w:r>
      <w:r w:rsidRPr="00EB7AF8">
        <w:rPr>
          <w:rFonts w:ascii="Book Antiqua" w:hAnsi="Book Antiqua"/>
          <w:spacing w:val="2"/>
          <w:szCs w:val="18"/>
          <w:lang w:val="en-ID"/>
        </w:rPr>
        <w:t>.</w:t>
      </w:r>
    </w:p>
    <w:p w14:paraId="30314054" w14:textId="4D6EF32B" w:rsidR="00EB7AF8" w:rsidRDefault="00EB7AF8" w:rsidP="00EB7AF8">
      <w:pPr>
        <w:ind w:firstLine="360"/>
        <w:rPr>
          <w:rFonts w:ascii="Book Antiqua" w:hAnsi="Book Antiqua"/>
          <w:spacing w:val="2"/>
          <w:szCs w:val="18"/>
          <w:lang w:val="en-ID"/>
        </w:rPr>
      </w:pPr>
      <w:r w:rsidRPr="00EB7AF8">
        <w:rPr>
          <w:rFonts w:ascii="Book Antiqua" w:hAnsi="Book Antiqua"/>
          <w:spacing w:val="2"/>
          <w:szCs w:val="18"/>
          <w:lang w:val="en-ID"/>
        </w:rPr>
        <w:t>In Indonesian positive law, therapeutic contracts are not always formulated in written form, but their existence can be proven through a series of factual actions, such as the patient seeking treatment, the health care provider conducting anamnesis, physical examination, diagnosis, and proposing therapeutic measures. Doctrinally, the therapeutic contract is classified as an inspanningsverbintenis (obligation of effort), rather than a resultaatsverbintenis (obligation of result), such that the obligation of the health care professional is to make the best possible medical efforts in accordance with applicable standards, without guaranteeing a cure. Within this construction, patient autonomy is present at the pre-contractual stage and during the performance of the agreement, when the patient is afforded the freedom to consent to, refuse, or discontinue medical interventions. The absence of valid consent has the potential to give rise to violations of rights, which may have civil implications (breach of contract or tort), administrative consequences (professional disciplinary sanctions), and, in certain circumstances, criminal liability. Patient autonomy is therefore not merely an ethical issue, but entails concrete juridical consequences within the structure of the therapeutic contract</w:t>
      </w:r>
      <w:r w:rsidR="00D6216C">
        <w:rPr>
          <w:rFonts w:ascii="Book Antiqua" w:hAnsi="Book Antiqua"/>
          <w:spacing w:val="2"/>
          <w:szCs w:val="18"/>
          <w:lang w:val="en-ID"/>
        </w:rPr>
        <w:t xml:space="preserve"> (</w:t>
      </w:r>
      <w:r w:rsidR="00D6216C" w:rsidRPr="00D6216C">
        <w:rPr>
          <w:rFonts w:ascii="Book Antiqua" w:hAnsi="Book Antiqua"/>
          <w:spacing w:val="2"/>
          <w:szCs w:val="18"/>
          <w:lang w:val="en-ID"/>
        </w:rPr>
        <w:t>Sacharissa, 2020)</w:t>
      </w:r>
      <w:r w:rsidRPr="00EB7AF8">
        <w:rPr>
          <w:rFonts w:ascii="Book Antiqua" w:hAnsi="Book Antiqua"/>
          <w:spacing w:val="2"/>
          <w:szCs w:val="18"/>
          <w:lang w:val="en-ID"/>
        </w:rPr>
        <w:t>.</w:t>
      </w:r>
    </w:p>
    <w:p w14:paraId="6C7D91DB" w14:textId="77777777" w:rsidR="00EB7AF8" w:rsidRPr="00EB7AF8" w:rsidRDefault="00EB7AF8" w:rsidP="00EB7AF8">
      <w:pPr>
        <w:ind w:firstLine="360"/>
        <w:rPr>
          <w:rFonts w:ascii="Book Antiqua" w:hAnsi="Book Antiqua"/>
          <w:szCs w:val="18"/>
          <w:lang w:val="en-ID"/>
        </w:rPr>
      </w:pPr>
      <w:r w:rsidRPr="00EB7AF8">
        <w:rPr>
          <w:rFonts w:ascii="Book Antiqua" w:hAnsi="Book Antiqua"/>
          <w:spacing w:val="2"/>
          <w:szCs w:val="18"/>
          <w:lang w:val="en-ID"/>
        </w:rPr>
        <w:t xml:space="preserve">The paternalism of health care professionals in the therapeutic contract arises when physicians or other health care providers assume part of the decision-making process on the basis of protecting the patient’s best interests (Roihanah, 2019). In classical medical ethics doctrine, paternalism is viewed as a justification for health care professionals to decide in the “best interests” of the patient, even in the absence of the patient’s full consent. However, within the framework of Indonesian positive law, particularly in light of the strengthening of human rights principles and individual autonomy, the scope for paternalism has become more limited. Paternalism can only be justified in specific circumstances, for example in life-threatening emergencies where the patient is </w:t>
      </w:r>
      <w:r w:rsidRPr="00EB7AF8">
        <w:rPr>
          <w:rFonts w:ascii="Book Antiqua" w:hAnsi="Book Antiqua"/>
          <w:szCs w:val="18"/>
          <w:lang w:val="en-ID"/>
        </w:rPr>
        <w:t xml:space="preserve">unable to express his or her will and no lawful representative is available to provide consent within </w:t>
      </w:r>
      <w:r w:rsidRPr="00EB7AF8">
        <w:rPr>
          <w:rFonts w:ascii="Book Antiqua" w:hAnsi="Book Antiqua"/>
          <w:szCs w:val="18"/>
          <w:lang w:val="en-ID"/>
        </w:rPr>
        <w:t>a reasonable time. In such conditions, the physician may perform medical interventions without explicit informed consent in order to prevent greater harm, provided that the physician adheres to professional standards and can justify the intervention ethically and legally (Trihastuti et al., 2020).</w:t>
      </w:r>
    </w:p>
    <w:p w14:paraId="2851795E" w14:textId="77777777" w:rsidR="00EB7AF8" w:rsidRPr="00EB7AF8" w:rsidRDefault="00EB7AF8" w:rsidP="00EB7AF8">
      <w:pPr>
        <w:ind w:firstLine="360"/>
        <w:rPr>
          <w:rFonts w:ascii="Book Antiqua" w:hAnsi="Book Antiqua"/>
          <w:spacing w:val="2"/>
          <w:szCs w:val="18"/>
          <w:lang w:val="en-ID"/>
        </w:rPr>
      </w:pPr>
      <w:r w:rsidRPr="00EB7AF8">
        <w:rPr>
          <w:rFonts w:ascii="Book Antiqua" w:hAnsi="Book Antiqua"/>
          <w:spacing w:val="2"/>
          <w:szCs w:val="18"/>
          <w:lang w:val="en-ID"/>
        </w:rPr>
        <w:t>The boundaries of paternalism in therapeutic contracts are delineated through a number of legal and ethical principles that have been incorporated into Indonesian positive law. First, the principle of respect for human dignity, which implies that the patient’s body and life may not be treated as mere objects of medical intervention without a valid basis of consent. Second, the principle of subsidiarity, according to which intervention without consent may only be justified if no other alternative that better respects patient autonomy is available and if it is undertaken to prevent serious harm. Third, the principle of proportionality, which requires that paternalistic interventions be limited to what is medically necessary, non-excessive, and aligned with the objective of saving life or preventing severe disability. Fourth, the principle of accountability, which obliges health care professionals to justify, in professional, ethical, and juridical terms, any action that deviates from normal informed consent procedures (Yohanes et al., 2022). In this way, paternalism is not abolished, but is subjected to strict control so that it does not degenerate into a violation of patients’ rights.</w:t>
      </w:r>
    </w:p>
    <w:p w14:paraId="557A17DE" w14:textId="1BB0C268" w:rsidR="00BA4E80" w:rsidRPr="00EB7AF8" w:rsidRDefault="00EB7AF8" w:rsidP="00EB7AF8">
      <w:pPr>
        <w:ind w:firstLine="360"/>
        <w:rPr>
          <w:rFonts w:ascii="Book Antiqua" w:hAnsi="Book Antiqua"/>
          <w:spacing w:val="2"/>
          <w:szCs w:val="18"/>
          <w:lang w:val="en-ID"/>
        </w:rPr>
      </w:pPr>
      <w:r w:rsidRPr="00EB7AF8">
        <w:rPr>
          <w:rFonts w:ascii="Book Antiqua" w:hAnsi="Book Antiqua"/>
          <w:spacing w:val="2"/>
          <w:szCs w:val="18"/>
          <w:lang w:val="en-ID"/>
        </w:rPr>
        <w:t>Normatively, the regulation of patient autonomy and the limits of health care professionals’ paternalism in therapeutic contracts under Indonesian positive law still exhibits room for further development, particularly with respect to criminalization and the formulation of specific sanctions for violations that relate purely to the dimension of autonomy without resulting in physical harm. Nevertheless, the existing framework established by health law, medical practice law, hospital law, professional ethical codes, and general principles of contract law already provides a sufficiently robust juridical foundation for positioning patients as sovereign subjects and health care professionals as responsible experts. The refinement of regulations, for example through clearer formulations of the legal consequences of violating informed consent and more precise delineation of the scope of paternalistic authority, is expected to strengthen legal protection for patients while simultaneously providing legal certainty for health care professionals in implementing therapeutic contracts in a professional and just manner</w:t>
      </w:r>
      <w:r w:rsidR="006A0A09" w:rsidRPr="006A0A09">
        <w:rPr>
          <w:rFonts w:ascii="Book Antiqua" w:hAnsi="Book Antiqua"/>
          <w:spacing w:val="2"/>
          <w:szCs w:val="18"/>
          <w:lang w:val="en-ID"/>
        </w:rPr>
        <w:t>.</w:t>
      </w:r>
    </w:p>
    <w:p w14:paraId="25AAE66B" w14:textId="4D9BFA71" w:rsidR="00682AB0" w:rsidRPr="001E3756" w:rsidRDefault="0041534F" w:rsidP="00461F1A">
      <w:pPr>
        <w:pStyle w:val="Ventura-Heading1"/>
        <w:ind w:left="360" w:hanging="360"/>
        <w:rPr>
          <w:color w:val="1F497D" w:themeColor="text2"/>
          <w:szCs w:val="20"/>
          <w:lang w:val="id-ID"/>
        </w:rPr>
      </w:pPr>
      <w:r w:rsidRPr="001E3756">
        <w:rPr>
          <w:color w:val="1F497D" w:themeColor="text2"/>
          <w:szCs w:val="20"/>
          <w:lang w:val="id-ID"/>
        </w:rPr>
        <w:lastRenderedPageBreak/>
        <w:t>CONCLUSION</w:t>
      </w:r>
    </w:p>
    <w:p w14:paraId="4AB4D244" w14:textId="70B12DD4" w:rsidR="00EB7AF8" w:rsidRPr="00EB7AF8" w:rsidRDefault="00EB7AF8" w:rsidP="00EB7AF8">
      <w:pPr>
        <w:pStyle w:val="Ventura-Heading1"/>
        <w:rPr>
          <w:b w:val="0"/>
          <w:bCs/>
          <w:spacing w:val="2"/>
          <w:szCs w:val="20"/>
          <w:lang w:val="en-ID"/>
        </w:rPr>
      </w:pPr>
      <w:r w:rsidRPr="00EB7AF8">
        <w:rPr>
          <w:b w:val="0"/>
          <w:bCs/>
          <w:caps w:val="0"/>
          <w:szCs w:val="20"/>
          <w:lang w:val="en-ID"/>
        </w:rPr>
        <w:t xml:space="preserve">The therapeutic contract in health care services </w:t>
      </w:r>
      <w:r w:rsidRPr="00EB7AF8">
        <w:rPr>
          <w:b w:val="0"/>
          <w:bCs/>
          <w:caps w:val="0"/>
          <w:spacing w:val="2"/>
          <w:szCs w:val="20"/>
          <w:lang w:val="en-ID"/>
        </w:rPr>
        <w:t>positions the patient simultaneously as an ill individual and as a legal subject who holds rights to information and to self-determination, so that patient autonomy ought to constitute the foundation of every medical intervention. Positive law has recognized patient autonomy through the regulation of informed consent and the principle of obligation of effort, yet it has not provided criminal provisions that explicitly criminalize violations of consent to medical treatment, particularly when the harm suffered is non-physical in nature. On the other hand, the principle of legality, the principle of no punishment without fault, and the requirement of criminal capacity restrict punishment to perpetrators who may lawfully be held blameworthy, while paternalism on the part of health care professionals remains permissible to a limited extent in emergency situations for the purpose of protecting patient safety. This situation creates a gap between ethical protection and juridical protection of patient autonomy, such that patients remain vulnerable to the dominance of professional decision making that does not always reflect free and informed consent.</w:t>
      </w:r>
    </w:p>
    <w:p w14:paraId="15F360C2" w14:textId="26EBD895" w:rsidR="00EB7AF8" w:rsidRPr="00EB7AF8" w:rsidRDefault="00EB7AF8" w:rsidP="00EB7AF8">
      <w:pPr>
        <w:pStyle w:val="Ventura-Heading1"/>
        <w:ind w:firstLine="426"/>
        <w:rPr>
          <w:b w:val="0"/>
          <w:bCs/>
          <w:spacing w:val="2"/>
          <w:szCs w:val="20"/>
          <w:lang w:val="en-ID"/>
        </w:rPr>
      </w:pPr>
      <w:r w:rsidRPr="00EB7AF8">
        <w:rPr>
          <w:b w:val="0"/>
          <w:bCs/>
          <w:caps w:val="0"/>
          <w:spacing w:val="2"/>
          <w:szCs w:val="20"/>
          <w:lang w:val="en-ID"/>
        </w:rPr>
        <w:t>The absence of clear criminal regulation regarding violations of patient autonomy results in the protection of patients’ rights relying primarily on civil, ethical, and administrative instruments, whose coercive power and deterrent effect are relatively limited and therefore do not fully prevent excessive paternalistic practices. This has implications for the persistence of asymmetrical relationships in medical practice, in which the quality of communication, transparency of information, and documentation of informed consent are often treated as procedural formalities rather than as instruments for recognizing the dignity and freedom of the patient. From the perspective of law enforcement, legal authorities tend to rely on general provisions of the criminal code that are oriented toward physical harm, with the result that non-physical violations of autonomy are difficult to recognize as unlawful acts warranting criminal sanctions. Consequently, the legal objectives of justice, utility, and legal certainty for both patients and health care professionals have not yet been achieved in a balanced manner.</w:t>
      </w:r>
    </w:p>
    <w:p w14:paraId="784A5CD4" w14:textId="18962D8D" w:rsidR="00197D03" w:rsidRPr="00647AF7" w:rsidRDefault="00EB7AF8" w:rsidP="00647AF7">
      <w:pPr>
        <w:pStyle w:val="Ventura-Heading1"/>
        <w:ind w:firstLine="426"/>
        <w:rPr>
          <w:b w:val="0"/>
          <w:bCs/>
          <w:spacing w:val="2"/>
          <w:szCs w:val="20"/>
          <w:lang w:val="en-ID"/>
        </w:rPr>
      </w:pPr>
      <w:r w:rsidRPr="00EB7AF8">
        <w:rPr>
          <w:b w:val="0"/>
          <w:bCs/>
          <w:caps w:val="0"/>
          <w:spacing w:val="2"/>
          <w:szCs w:val="20"/>
          <w:lang w:val="en-ID"/>
        </w:rPr>
        <w:t xml:space="preserve">It is necessary to formulate normative provisions that explicitly classify medical interventions without valid consent as prohibited acts carrying proportionate criminal consequences, accompanied by a clear affirmation that informed </w:t>
      </w:r>
      <w:r w:rsidRPr="00EB7AF8">
        <w:rPr>
          <w:b w:val="0"/>
          <w:bCs/>
          <w:caps w:val="0"/>
          <w:spacing w:val="2"/>
          <w:szCs w:val="20"/>
          <w:lang w:val="en-ID"/>
        </w:rPr>
        <w:t>consent constitutes an integral part of professional standards and standard operating procedures for all health care professionals, not only physicians. The legislature and professional organizations need to develop detailed technical guidelines concerning procedures for communication, documentation, and evaluation of consent to medical treatment, and to incorporate the dimensions of bioethics, particularly the principles of autonomy, beneficence, non-maleficence, and justice, into everyday standards of practice. At the hospital level, it is essential to cultivate a clinical culture that promotes egalitarian dialogue between health care professionals and patients, provides continuous training in medical communication, and establishes accessible mechanisms for complaints and mediation, so that violations of autonomy can be prevented from the outset and, when they do occur, can be addressed through ethical, civil, and criminal avenues in a coordinated manner.</w:t>
      </w:r>
      <w:r w:rsidR="009121FC" w:rsidRPr="009121FC">
        <w:rPr>
          <w:b w:val="0"/>
          <w:caps w:val="0"/>
          <w:spacing w:val="-6"/>
          <w:szCs w:val="20"/>
          <w:lang w:val="id-ID"/>
        </w:rPr>
        <w:t xml:space="preserve">  </w:t>
      </w:r>
    </w:p>
    <w:p w14:paraId="179C412C" w14:textId="77777777" w:rsidR="00EB4444" w:rsidRPr="001E3756" w:rsidRDefault="00EB4444" w:rsidP="00197D03">
      <w:pPr>
        <w:pStyle w:val="Ventura-Heading1"/>
        <w:rPr>
          <w:b w:val="0"/>
          <w:caps w:val="0"/>
          <w:spacing w:val="-6"/>
          <w:szCs w:val="20"/>
          <w:lang w:val="id-ID"/>
        </w:rPr>
      </w:pPr>
    </w:p>
    <w:p w14:paraId="30554BB8" w14:textId="7D14929D" w:rsidR="002152FF" w:rsidRPr="0091621B" w:rsidRDefault="00D27B70" w:rsidP="0091621B">
      <w:pPr>
        <w:pStyle w:val="Ventura-Heading1"/>
        <w:rPr>
          <w:b w:val="0"/>
          <w:caps w:val="0"/>
          <w:szCs w:val="20"/>
          <w:lang w:val="id-ID"/>
        </w:rPr>
      </w:pPr>
      <w:r w:rsidRPr="001E3756">
        <w:rPr>
          <w:color w:val="1F497D" w:themeColor="text2"/>
          <w:spacing w:val="4"/>
          <w:szCs w:val="20"/>
          <w:lang w:val="id-ID"/>
        </w:rPr>
        <w:t>REFERENCES</w:t>
      </w:r>
    </w:p>
    <w:p w14:paraId="754F3C5E" w14:textId="77777777" w:rsidR="00EB7AF8" w:rsidRPr="00D6216C" w:rsidRDefault="00EB7AF8" w:rsidP="00EB7AF8">
      <w:pPr>
        <w:ind w:left="426" w:hanging="426"/>
        <w:rPr>
          <w:rFonts w:ascii="Book Antiqua" w:hAnsi="Book Antiqua"/>
          <w:spacing w:val="2"/>
          <w:szCs w:val="20"/>
          <w:shd w:val="clear" w:color="auto" w:fill="FFFFFF"/>
        </w:rPr>
      </w:pPr>
      <w:r w:rsidRPr="00D6216C">
        <w:rPr>
          <w:rFonts w:ascii="Book Antiqua" w:hAnsi="Book Antiqua"/>
          <w:spacing w:val="2"/>
          <w:szCs w:val="20"/>
          <w:shd w:val="clear" w:color="auto" w:fill="FFFFFF"/>
        </w:rPr>
        <w:t>Childress, J. F., &amp; Beauchamp, T. L. (2022). Common morality principles in biomedical ethics: responses to critics. </w:t>
      </w:r>
      <w:r w:rsidRPr="00D6216C">
        <w:rPr>
          <w:rFonts w:ascii="Book Antiqua" w:hAnsi="Book Antiqua"/>
          <w:i/>
          <w:iCs/>
          <w:spacing w:val="2"/>
          <w:szCs w:val="20"/>
          <w:shd w:val="clear" w:color="auto" w:fill="FFFFFF"/>
        </w:rPr>
        <w:t>Cambridge Quarterly of Healthcare Ethics</w:t>
      </w:r>
      <w:r w:rsidRPr="00D6216C">
        <w:rPr>
          <w:rFonts w:ascii="Book Antiqua" w:hAnsi="Book Antiqua"/>
          <w:spacing w:val="2"/>
          <w:szCs w:val="20"/>
          <w:shd w:val="clear" w:color="auto" w:fill="FFFFFF"/>
        </w:rPr>
        <w:t>, </w:t>
      </w:r>
      <w:r w:rsidRPr="00D6216C">
        <w:rPr>
          <w:rFonts w:ascii="Book Antiqua" w:hAnsi="Book Antiqua"/>
          <w:i/>
          <w:iCs/>
          <w:spacing w:val="2"/>
          <w:szCs w:val="20"/>
          <w:shd w:val="clear" w:color="auto" w:fill="FFFFFF"/>
        </w:rPr>
        <w:t>31</w:t>
      </w:r>
      <w:r w:rsidRPr="00D6216C">
        <w:rPr>
          <w:rFonts w:ascii="Book Antiqua" w:hAnsi="Book Antiqua"/>
          <w:spacing w:val="2"/>
          <w:szCs w:val="20"/>
          <w:shd w:val="clear" w:color="auto" w:fill="FFFFFF"/>
        </w:rPr>
        <w:t>(2), 164-176.</w:t>
      </w:r>
    </w:p>
    <w:p w14:paraId="7BCBE352" w14:textId="77777777" w:rsidR="00EB7AF8" w:rsidRPr="00D6216C" w:rsidRDefault="00EB7AF8" w:rsidP="00EB7AF8">
      <w:pPr>
        <w:ind w:left="426" w:hanging="426"/>
        <w:rPr>
          <w:rFonts w:ascii="Book Antiqua" w:hAnsi="Book Antiqua"/>
          <w:spacing w:val="2"/>
          <w:szCs w:val="20"/>
          <w:shd w:val="clear" w:color="auto" w:fill="FFFFFF"/>
          <w:lang w:val="id-ID"/>
        </w:rPr>
      </w:pPr>
      <w:r w:rsidRPr="00D6216C">
        <w:rPr>
          <w:rFonts w:ascii="Book Antiqua" w:hAnsi="Book Antiqua"/>
          <w:spacing w:val="2"/>
          <w:szCs w:val="20"/>
          <w:shd w:val="clear" w:color="auto" w:fill="FFFFFF"/>
        </w:rPr>
        <w:t>Damayanti, O. P., &amp; Zakaria, N. (2015). Pertanggungjawaban Pidana Dokter Pada kasus Malpraktek Dalam Berbagai Peraturan Perundang-undangan di Indonesia. </w:t>
      </w:r>
      <w:r w:rsidRPr="00D6216C">
        <w:rPr>
          <w:rFonts w:ascii="Book Antiqua" w:hAnsi="Book Antiqua"/>
          <w:i/>
          <w:iCs/>
          <w:spacing w:val="2"/>
          <w:szCs w:val="20"/>
          <w:shd w:val="clear" w:color="auto" w:fill="FFFFFF"/>
        </w:rPr>
        <w:t>Recidive: Jurnal Hukum Pidana dan Penanggulangan Kejahatan</w:t>
      </w:r>
      <w:r w:rsidRPr="00D6216C">
        <w:rPr>
          <w:rFonts w:ascii="Book Antiqua" w:hAnsi="Book Antiqua"/>
          <w:spacing w:val="2"/>
          <w:szCs w:val="20"/>
          <w:shd w:val="clear" w:color="auto" w:fill="FFFFFF"/>
        </w:rPr>
        <w:t>, </w:t>
      </w:r>
      <w:r w:rsidRPr="00D6216C">
        <w:rPr>
          <w:rFonts w:ascii="Book Antiqua" w:hAnsi="Book Antiqua"/>
          <w:i/>
          <w:iCs/>
          <w:spacing w:val="2"/>
          <w:szCs w:val="20"/>
          <w:shd w:val="clear" w:color="auto" w:fill="FFFFFF"/>
        </w:rPr>
        <w:t>2</w:t>
      </w:r>
      <w:r w:rsidRPr="00D6216C">
        <w:rPr>
          <w:rFonts w:ascii="Book Antiqua" w:hAnsi="Book Antiqua"/>
          <w:spacing w:val="2"/>
          <w:szCs w:val="20"/>
          <w:shd w:val="clear" w:color="auto" w:fill="FFFFFF"/>
        </w:rPr>
        <w:t>(2).</w:t>
      </w:r>
    </w:p>
    <w:p w14:paraId="57DCC6AF" w14:textId="77777777" w:rsidR="00EB7AF8" w:rsidRPr="00D6216C" w:rsidRDefault="00EB7AF8" w:rsidP="00EB7AF8">
      <w:pPr>
        <w:ind w:left="426" w:hanging="426"/>
        <w:rPr>
          <w:rFonts w:ascii="Book Antiqua" w:hAnsi="Book Antiqua"/>
          <w:spacing w:val="2"/>
          <w:szCs w:val="20"/>
          <w:shd w:val="clear" w:color="auto" w:fill="FFFFFF"/>
          <w:lang w:val="id-ID"/>
        </w:rPr>
      </w:pPr>
      <w:r w:rsidRPr="00D6216C">
        <w:rPr>
          <w:rFonts w:ascii="Book Antiqua" w:hAnsi="Book Antiqua"/>
          <w:spacing w:val="2"/>
          <w:szCs w:val="20"/>
          <w:shd w:val="clear" w:color="auto" w:fill="FFFFFF"/>
        </w:rPr>
        <w:t>Dworkin, G. (2015). The nature of autonomy. </w:t>
      </w:r>
      <w:r w:rsidRPr="00D6216C">
        <w:rPr>
          <w:rFonts w:ascii="Book Antiqua" w:hAnsi="Book Antiqua"/>
          <w:i/>
          <w:iCs/>
          <w:spacing w:val="2"/>
          <w:szCs w:val="20"/>
          <w:shd w:val="clear" w:color="auto" w:fill="FFFFFF"/>
        </w:rPr>
        <w:t>Nordic Journal of Studies in Educational Policy</w:t>
      </w:r>
      <w:r w:rsidRPr="00D6216C">
        <w:rPr>
          <w:rFonts w:ascii="Book Antiqua" w:hAnsi="Book Antiqua"/>
          <w:spacing w:val="2"/>
          <w:szCs w:val="20"/>
          <w:shd w:val="clear" w:color="auto" w:fill="FFFFFF"/>
        </w:rPr>
        <w:t>, </w:t>
      </w:r>
      <w:r w:rsidRPr="00D6216C">
        <w:rPr>
          <w:rFonts w:ascii="Book Antiqua" w:hAnsi="Book Antiqua"/>
          <w:i/>
          <w:iCs/>
          <w:spacing w:val="2"/>
          <w:szCs w:val="20"/>
          <w:shd w:val="clear" w:color="auto" w:fill="FFFFFF"/>
        </w:rPr>
        <w:t>2015</w:t>
      </w:r>
      <w:r w:rsidRPr="00D6216C">
        <w:rPr>
          <w:rFonts w:ascii="Book Antiqua" w:hAnsi="Book Antiqua"/>
          <w:spacing w:val="2"/>
          <w:szCs w:val="20"/>
          <w:shd w:val="clear" w:color="auto" w:fill="FFFFFF"/>
        </w:rPr>
        <w:t>(2), 28479.</w:t>
      </w:r>
      <w:r w:rsidRPr="00D6216C">
        <w:rPr>
          <w:rFonts w:ascii="Book Antiqua" w:hAnsi="Book Antiqua"/>
          <w:spacing w:val="2"/>
          <w:szCs w:val="20"/>
          <w:shd w:val="clear" w:color="auto" w:fill="FFFFFF"/>
          <w:lang w:val="id-ID"/>
        </w:rPr>
        <w:t xml:space="preserve"> </w:t>
      </w:r>
    </w:p>
    <w:p w14:paraId="4BBF1831" w14:textId="77777777" w:rsidR="00EB7AF8" w:rsidRPr="00D6216C" w:rsidRDefault="00EB7AF8" w:rsidP="00EB7AF8">
      <w:pPr>
        <w:ind w:left="426" w:hanging="426"/>
        <w:rPr>
          <w:rFonts w:ascii="Book Antiqua" w:hAnsi="Book Antiqua"/>
          <w:spacing w:val="2"/>
          <w:szCs w:val="20"/>
          <w:shd w:val="clear" w:color="auto" w:fill="FFFFFF"/>
          <w:lang w:val="id-ID"/>
        </w:rPr>
      </w:pPr>
      <w:r w:rsidRPr="00D6216C">
        <w:rPr>
          <w:rFonts w:ascii="Book Antiqua" w:hAnsi="Book Antiqua"/>
          <w:spacing w:val="2"/>
          <w:szCs w:val="20"/>
          <w:shd w:val="clear" w:color="auto" w:fill="FFFFFF"/>
          <w:lang w:val="id-ID"/>
        </w:rPr>
        <w:t xml:space="preserve">Fadlian, A. (2020). Pertanggungjawaban Pidana dalam Suatu Kerangka Teoritis. </w:t>
      </w:r>
      <w:r w:rsidRPr="00D6216C">
        <w:rPr>
          <w:rFonts w:ascii="Book Antiqua" w:hAnsi="Book Antiqua"/>
          <w:i/>
          <w:iCs/>
          <w:spacing w:val="2"/>
          <w:szCs w:val="20"/>
          <w:shd w:val="clear" w:color="auto" w:fill="FFFFFF"/>
          <w:lang w:val="id-ID"/>
        </w:rPr>
        <w:t xml:space="preserve">Jurnal Hukum Positum, </w:t>
      </w:r>
      <w:r w:rsidRPr="00D6216C">
        <w:rPr>
          <w:rFonts w:ascii="Book Antiqua" w:hAnsi="Book Antiqua"/>
          <w:spacing w:val="2"/>
          <w:szCs w:val="20"/>
          <w:shd w:val="clear" w:color="auto" w:fill="FFFFFF"/>
          <w:lang w:val="id-ID"/>
        </w:rPr>
        <w:t>5(2), 10-19.</w:t>
      </w:r>
    </w:p>
    <w:p w14:paraId="7D0FE9DC" w14:textId="77777777" w:rsidR="00EB7AF8" w:rsidRPr="00D6216C" w:rsidRDefault="00EB7AF8" w:rsidP="00EB7AF8">
      <w:pPr>
        <w:ind w:left="426" w:hanging="426"/>
        <w:rPr>
          <w:rFonts w:ascii="Book Antiqua" w:hAnsi="Book Antiqua"/>
          <w:szCs w:val="20"/>
          <w:shd w:val="clear" w:color="auto" w:fill="FFFFFF"/>
          <w:lang w:val="id-ID"/>
        </w:rPr>
      </w:pPr>
      <w:r w:rsidRPr="00D6216C">
        <w:rPr>
          <w:rFonts w:ascii="Book Antiqua" w:hAnsi="Book Antiqua"/>
          <w:szCs w:val="20"/>
          <w:shd w:val="clear" w:color="auto" w:fill="FFFFFF"/>
        </w:rPr>
        <w:t>Farrell, A. M., Devereux, J., Karpin, I., &amp; Weller, P. (2017). </w:t>
      </w:r>
      <w:r w:rsidRPr="00D6216C">
        <w:rPr>
          <w:rFonts w:ascii="Book Antiqua" w:hAnsi="Book Antiqua"/>
          <w:i/>
          <w:iCs/>
          <w:szCs w:val="20"/>
          <w:shd w:val="clear" w:color="auto" w:fill="FFFFFF"/>
        </w:rPr>
        <w:t>Health Law</w:t>
      </w:r>
      <w:r w:rsidRPr="00D6216C">
        <w:rPr>
          <w:rFonts w:ascii="Book Antiqua" w:hAnsi="Book Antiqua"/>
          <w:szCs w:val="20"/>
          <w:shd w:val="clear" w:color="auto" w:fill="FFFFFF"/>
        </w:rPr>
        <w:t>. Cambridge University Press.</w:t>
      </w:r>
    </w:p>
    <w:p w14:paraId="668BA9DC" w14:textId="77777777" w:rsidR="00EB7AF8" w:rsidRPr="00D6216C" w:rsidRDefault="00EB7AF8" w:rsidP="00EB7AF8">
      <w:pPr>
        <w:ind w:left="426" w:hanging="426"/>
        <w:rPr>
          <w:rFonts w:ascii="Book Antiqua" w:hAnsi="Book Antiqua"/>
          <w:spacing w:val="2"/>
          <w:szCs w:val="20"/>
          <w:shd w:val="clear" w:color="auto" w:fill="FFFFFF"/>
          <w:lang w:val="id-ID"/>
        </w:rPr>
      </w:pPr>
      <w:r w:rsidRPr="00D6216C">
        <w:rPr>
          <w:rFonts w:ascii="Book Antiqua" w:hAnsi="Book Antiqua"/>
          <w:spacing w:val="2"/>
          <w:szCs w:val="20"/>
          <w:shd w:val="clear" w:color="auto" w:fill="FFFFFF"/>
        </w:rPr>
        <w:t>Gray, J. C. (2019). </w:t>
      </w:r>
      <w:r w:rsidRPr="00D6216C">
        <w:rPr>
          <w:rFonts w:ascii="Book Antiqua" w:hAnsi="Book Antiqua"/>
          <w:i/>
          <w:iCs/>
          <w:spacing w:val="2"/>
          <w:szCs w:val="20"/>
          <w:shd w:val="clear" w:color="auto" w:fill="FFFFFF"/>
        </w:rPr>
        <w:t>The nature and sources of the law by John Chipman Gray</w:t>
      </w:r>
      <w:r w:rsidRPr="00D6216C">
        <w:rPr>
          <w:rFonts w:ascii="Book Antiqua" w:hAnsi="Book Antiqua"/>
          <w:spacing w:val="2"/>
          <w:szCs w:val="20"/>
          <w:shd w:val="clear" w:color="auto" w:fill="FFFFFF"/>
        </w:rPr>
        <w:t>. Routledge.</w:t>
      </w:r>
      <w:r w:rsidRPr="00D6216C">
        <w:rPr>
          <w:rFonts w:ascii="Book Antiqua" w:hAnsi="Book Antiqua"/>
          <w:spacing w:val="2"/>
          <w:szCs w:val="20"/>
          <w:shd w:val="clear" w:color="auto" w:fill="FFFFFF"/>
          <w:lang w:val="id-ID"/>
        </w:rPr>
        <w:t xml:space="preserve"> </w:t>
      </w:r>
    </w:p>
    <w:p w14:paraId="17005064" w14:textId="77777777" w:rsidR="00EB7AF8" w:rsidRPr="00D6216C" w:rsidRDefault="00EB7AF8" w:rsidP="00EB7AF8">
      <w:pPr>
        <w:ind w:left="426" w:hanging="426"/>
        <w:rPr>
          <w:rFonts w:ascii="Book Antiqua" w:hAnsi="Book Antiqua"/>
          <w:spacing w:val="2"/>
          <w:szCs w:val="20"/>
          <w:shd w:val="clear" w:color="auto" w:fill="FFFFFF"/>
          <w:lang w:val="id-ID"/>
        </w:rPr>
      </w:pPr>
      <w:r w:rsidRPr="00D6216C">
        <w:rPr>
          <w:rFonts w:ascii="Book Antiqua" w:hAnsi="Book Antiqua"/>
          <w:spacing w:val="2"/>
          <w:szCs w:val="20"/>
          <w:shd w:val="clear" w:color="auto" w:fill="FFFFFF"/>
        </w:rPr>
        <w:t>Kant, I. (2017). </w:t>
      </w:r>
      <w:r w:rsidRPr="00D6216C">
        <w:rPr>
          <w:rFonts w:ascii="Book Antiqua" w:hAnsi="Book Antiqua"/>
          <w:i/>
          <w:iCs/>
          <w:spacing w:val="2"/>
          <w:szCs w:val="20"/>
          <w:shd w:val="clear" w:color="auto" w:fill="FFFFFF"/>
        </w:rPr>
        <w:t>Kant: The metaphysics of morals</w:t>
      </w:r>
      <w:r w:rsidRPr="00D6216C">
        <w:rPr>
          <w:rFonts w:ascii="Book Antiqua" w:hAnsi="Book Antiqua"/>
          <w:spacing w:val="2"/>
          <w:szCs w:val="20"/>
          <w:shd w:val="clear" w:color="auto" w:fill="FFFFFF"/>
        </w:rPr>
        <w:t>. Cambridge University Press.</w:t>
      </w:r>
      <w:r w:rsidRPr="00D6216C">
        <w:rPr>
          <w:rFonts w:ascii="Book Antiqua" w:hAnsi="Book Antiqua"/>
          <w:spacing w:val="2"/>
          <w:szCs w:val="20"/>
          <w:shd w:val="clear" w:color="auto" w:fill="FFFFFF"/>
          <w:lang w:val="id-ID"/>
        </w:rPr>
        <w:t xml:space="preserve"> </w:t>
      </w:r>
    </w:p>
    <w:p w14:paraId="0218BC49" w14:textId="77777777" w:rsidR="00EB7AF8" w:rsidRPr="00D6216C" w:rsidRDefault="00EB7AF8" w:rsidP="00EB7AF8">
      <w:pPr>
        <w:ind w:left="426" w:hanging="426"/>
        <w:rPr>
          <w:rFonts w:ascii="Book Antiqua" w:hAnsi="Book Antiqua"/>
          <w:spacing w:val="2"/>
          <w:szCs w:val="20"/>
          <w:shd w:val="clear" w:color="auto" w:fill="FFFFFF"/>
          <w:lang w:val="id-ID"/>
        </w:rPr>
      </w:pPr>
      <w:r w:rsidRPr="00D6216C">
        <w:rPr>
          <w:rFonts w:ascii="Book Antiqua" w:hAnsi="Book Antiqua"/>
          <w:spacing w:val="2"/>
          <w:szCs w:val="20"/>
          <w:shd w:val="clear" w:color="auto" w:fill="FFFFFF"/>
          <w:lang w:val="id-ID"/>
        </w:rPr>
        <w:t xml:space="preserve">Lewokeda, M. D. (2018). Pertanggungjawaban Pidana Tindak Pidana terkait Pemberian Delegasi Kewenangan. </w:t>
      </w:r>
      <w:r w:rsidRPr="00D6216C">
        <w:rPr>
          <w:rFonts w:ascii="Book Antiqua" w:hAnsi="Book Antiqua"/>
          <w:i/>
          <w:iCs/>
          <w:spacing w:val="2"/>
          <w:szCs w:val="20"/>
          <w:shd w:val="clear" w:color="auto" w:fill="FFFFFF"/>
          <w:lang w:val="id-ID"/>
        </w:rPr>
        <w:t>Mimbar Keadilan</w:t>
      </w:r>
      <w:r w:rsidRPr="00D6216C">
        <w:rPr>
          <w:rFonts w:ascii="Book Antiqua" w:hAnsi="Book Antiqua"/>
          <w:spacing w:val="2"/>
          <w:szCs w:val="20"/>
          <w:shd w:val="clear" w:color="auto" w:fill="FFFFFF"/>
          <w:lang w:val="id-ID"/>
        </w:rPr>
        <w:t>, 14(28), 183-196.</w:t>
      </w:r>
    </w:p>
    <w:p w14:paraId="09FBF997" w14:textId="7A44A769" w:rsidR="00EB7AF8" w:rsidRPr="00D6216C" w:rsidRDefault="00EB7AF8" w:rsidP="00EB7AF8">
      <w:pPr>
        <w:ind w:left="426" w:hanging="426"/>
        <w:rPr>
          <w:rFonts w:ascii="Book Antiqua" w:hAnsi="Book Antiqua"/>
          <w:spacing w:val="2"/>
          <w:szCs w:val="20"/>
          <w:shd w:val="clear" w:color="auto" w:fill="FFFFFF"/>
          <w:lang w:val="id-ID"/>
        </w:rPr>
      </w:pPr>
      <w:r w:rsidRPr="00D6216C">
        <w:rPr>
          <w:rFonts w:ascii="Book Antiqua" w:hAnsi="Book Antiqua"/>
          <w:spacing w:val="2"/>
          <w:szCs w:val="20"/>
          <w:shd w:val="clear" w:color="auto" w:fill="FFFFFF"/>
          <w:lang w:val="id-ID"/>
        </w:rPr>
        <w:t xml:space="preserve">Paulson, S. L. (1995). Radbruch on unjust laws: Competing earlier </w:t>
      </w:r>
      <w:r w:rsidRPr="00D6216C">
        <w:rPr>
          <w:rFonts w:ascii="Book Antiqua" w:hAnsi="Book Antiqua"/>
          <w:i/>
          <w:iCs/>
          <w:spacing w:val="2"/>
          <w:szCs w:val="20"/>
          <w:shd w:val="clear" w:color="auto" w:fill="FFFFFF"/>
          <w:lang w:val="id-ID"/>
        </w:rPr>
        <w:t>and later views. Oxford</w:t>
      </w:r>
      <w:r w:rsidRPr="00D6216C">
        <w:rPr>
          <w:rFonts w:ascii="Book Antiqua" w:hAnsi="Book Antiqua"/>
          <w:spacing w:val="2"/>
          <w:szCs w:val="20"/>
          <w:shd w:val="clear" w:color="auto" w:fill="FFFFFF"/>
          <w:lang w:val="id-ID"/>
        </w:rPr>
        <w:t xml:space="preserve"> Journal of Legal Studies, 15(3), 489</w:t>
      </w:r>
    </w:p>
    <w:p w14:paraId="22A2CAC2" w14:textId="77777777" w:rsidR="00EB7AF8" w:rsidRPr="00D6216C" w:rsidRDefault="00EB7AF8" w:rsidP="00EB7AF8">
      <w:pPr>
        <w:ind w:left="426" w:hanging="426"/>
        <w:rPr>
          <w:rFonts w:ascii="Book Antiqua" w:hAnsi="Book Antiqua"/>
          <w:spacing w:val="2"/>
          <w:szCs w:val="20"/>
          <w:shd w:val="clear" w:color="auto" w:fill="FFFFFF"/>
          <w:lang w:val="id-ID"/>
        </w:rPr>
      </w:pPr>
      <w:r w:rsidRPr="00D6216C">
        <w:rPr>
          <w:rFonts w:ascii="Book Antiqua" w:hAnsi="Book Antiqua"/>
          <w:spacing w:val="2"/>
          <w:szCs w:val="20"/>
          <w:shd w:val="clear" w:color="auto" w:fill="FFFFFF"/>
          <w:lang w:val="id-ID"/>
        </w:rPr>
        <w:t xml:space="preserve">Rawls, J. (1999). </w:t>
      </w:r>
      <w:r w:rsidRPr="00D6216C">
        <w:rPr>
          <w:rFonts w:ascii="Book Antiqua" w:hAnsi="Book Antiqua"/>
          <w:i/>
          <w:iCs/>
          <w:spacing w:val="2"/>
          <w:szCs w:val="20"/>
          <w:shd w:val="clear" w:color="auto" w:fill="FFFFFF"/>
          <w:lang w:val="id-ID"/>
        </w:rPr>
        <w:t>A theory of justice (Revised Edition)</w:t>
      </w:r>
      <w:r w:rsidRPr="00D6216C">
        <w:rPr>
          <w:rFonts w:ascii="Book Antiqua" w:hAnsi="Book Antiqua"/>
          <w:spacing w:val="2"/>
          <w:szCs w:val="20"/>
          <w:shd w:val="clear" w:color="auto" w:fill="FFFFFF"/>
          <w:lang w:val="id-ID"/>
        </w:rPr>
        <w:t>. The Belknap Press of Harvard University Press, Cambridge &amp; Massachusetts.</w:t>
      </w:r>
    </w:p>
    <w:p w14:paraId="5A494816" w14:textId="77777777" w:rsidR="00EB7AF8" w:rsidRPr="00D6216C" w:rsidRDefault="00EB7AF8" w:rsidP="00EB7AF8">
      <w:pPr>
        <w:ind w:left="426" w:hanging="426"/>
        <w:rPr>
          <w:rFonts w:ascii="Book Antiqua" w:hAnsi="Book Antiqua"/>
          <w:spacing w:val="2"/>
          <w:szCs w:val="20"/>
          <w:shd w:val="clear" w:color="auto" w:fill="FFFFFF"/>
          <w:lang w:val="id-ID"/>
        </w:rPr>
      </w:pPr>
      <w:r w:rsidRPr="00D6216C">
        <w:rPr>
          <w:rFonts w:ascii="Book Antiqua" w:hAnsi="Book Antiqua"/>
          <w:spacing w:val="2"/>
          <w:szCs w:val="20"/>
          <w:shd w:val="clear" w:color="auto" w:fill="FFFFFF"/>
          <w:lang w:val="id-ID"/>
        </w:rPr>
        <w:lastRenderedPageBreak/>
        <w:t xml:space="preserve">Ripstein, A. (2009). </w:t>
      </w:r>
      <w:r w:rsidRPr="00D6216C">
        <w:rPr>
          <w:rFonts w:ascii="Book Antiqua" w:hAnsi="Book Antiqua"/>
          <w:i/>
          <w:iCs/>
          <w:spacing w:val="2"/>
          <w:szCs w:val="20"/>
          <w:shd w:val="clear" w:color="auto" w:fill="FFFFFF"/>
          <w:lang w:val="id-ID"/>
        </w:rPr>
        <w:t>Force and Freedom: Kant's Legal and Political Philosophy.</w:t>
      </w:r>
      <w:r w:rsidRPr="00D6216C">
        <w:rPr>
          <w:rFonts w:ascii="Book Antiqua" w:hAnsi="Book Antiqua"/>
          <w:spacing w:val="2"/>
          <w:szCs w:val="20"/>
          <w:shd w:val="clear" w:color="auto" w:fill="FFFFFF"/>
          <w:lang w:val="id-ID"/>
        </w:rPr>
        <w:t xml:space="preserve"> Cambridge: Harvard University Press.</w:t>
      </w:r>
    </w:p>
    <w:p w14:paraId="3C7FC073" w14:textId="77777777" w:rsidR="00D6216C" w:rsidRPr="00D6216C" w:rsidRDefault="00EB7AF8" w:rsidP="00D6216C">
      <w:pPr>
        <w:ind w:left="426" w:hanging="426"/>
        <w:rPr>
          <w:rFonts w:ascii="Book Antiqua" w:hAnsi="Book Antiqua"/>
          <w:spacing w:val="-2"/>
          <w:szCs w:val="20"/>
          <w:lang w:val="en-ID"/>
        </w:rPr>
      </w:pPr>
      <w:r w:rsidRPr="00CB18F7">
        <w:rPr>
          <w:rFonts w:ascii="Book Antiqua" w:hAnsi="Book Antiqua"/>
          <w:spacing w:val="2"/>
          <w:szCs w:val="20"/>
          <w:lang w:val="en-ID"/>
        </w:rPr>
        <w:t>Roihanah, R. (2019). Hubungan Hukum Dokter dan Pasien: Perspektif Undang-Undang No 8 Tahun 1999 Tentang Perlindungan Konsumen. </w:t>
      </w:r>
      <w:r w:rsidRPr="00CB18F7">
        <w:rPr>
          <w:rFonts w:ascii="Book Antiqua" w:hAnsi="Book Antiqua"/>
          <w:i/>
          <w:iCs/>
          <w:spacing w:val="2"/>
          <w:szCs w:val="20"/>
          <w:lang w:val="en-ID"/>
        </w:rPr>
        <w:t>Justicia Islamica</w:t>
      </w:r>
      <w:r w:rsidRPr="00CB18F7">
        <w:rPr>
          <w:rFonts w:ascii="Book Antiqua" w:hAnsi="Book Antiqua"/>
          <w:spacing w:val="2"/>
          <w:szCs w:val="20"/>
          <w:lang w:val="en-ID"/>
        </w:rPr>
        <w:t xml:space="preserve">. </w:t>
      </w:r>
      <w:hyperlink r:id="rId14" w:history="1">
        <w:r w:rsidRPr="00CB18F7">
          <w:rPr>
            <w:rStyle w:val="Hyperlink"/>
            <w:rFonts w:ascii="Book Antiqua" w:hAnsi="Book Antiqua"/>
            <w:spacing w:val="-2"/>
            <w:szCs w:val="20"/>
            <w:lang w:val="en-ID"/>
          </w:rPr>
          <w:t>https://doi.org/10.21154/JUSTICIA.V16I1.1664</w:t>
        </w:r>
      </w:hyperlink>
    </w:p>
    <w:p w14:paraId="694240B9" w14:textId="366E31F8" w:rsidR="00D6216C" w:rsidRPr="00D6216C" w:rsidRDefault="00D6216C" w:rsidP="00D6216C">
      <w:pPr>
        <w:ind w:left="426" w:hanging="426"/>
        <w:rPr>
          <w:rFonts w:ascii="Book Antiqua" w:hAnsi="Book Antiqua"/>
          <w:spacing w:val="2"/>
          <w:szCs w:val="20"/>
          <w:lang w:val="en-ID"/>
        </w:rPr>
      </w:pPr>
      <w:r w:rsidRPr="00D6216C">
        <w:rPr>
          <w:rFonts w:ascii="Book Antiqua" w:hAnsi="Book Antiqua"/>
          <w:spacing w:val="2"/>
          <w:szCs w:val="18"/>
          <w:lang w:val="en-ID"/>
        </w:rPr>
        <w:t>Sacharissa, V. (2020). </w:t>
      </w:r>
      <w:r w:rsidRPr="00D6216C">
        <w:rPr>
          <w:rFonts w:ascii="Book Antiqua" w:hAnsi="Book Antiqua"/>
          <w:i/>
          <w:iCs/>
          <w:spacing w:val="2"/>
          <w:szCs w:val="18"/>
          <w:lang w:val="en-ID"/>
        </w:rPr>
        <w:t>Legal Consequences of The Absense of Informed Consent in Therapeutic Transactions</w:t>
      </w:r>
      <w:r w:rsidRPr="00D6216C">
        <w:rPr>
          <w:rFonts w:ascii="Book Antiqua" w:hAnsi="Book Antiqua"/>
          <w:spacing w:val="2"/>
          <w:szCs w:val="18"/>
          <w:lang w:val="en-ID"/>
        </w:rPr>
        <w:t>. https://doi.org/10.30872/MULREV.V5I1.296</w:t>
      </w:r>
    </w:p>
    <w:p w14:paraId="295A5FE4" w14:textId="77777777" w:rsidR="00D6216C" w:rsidRPr="00D6216C" w:rsidRDefault="00EB7AF8" w:rsidP="00D6216C">
      <w:pPr>
        <w:ind w:left="426" w:hanging="426"/>
        <w:rPr>
          <w:rFonts w:ascii="Book Antiqua" w:hAnsi="Book Antiqua"/>
          <w:spacing w:val="2"/>
          <w:szCs w:val="20"/>
          <w:shd w:val="clear" w:color="auto" w:fill="FFFFFF"/>
          <w:lang w:val="id-ID"/>
        </w:rPr>
      </w:pPr>
      <w:r w:rsidRPr="00D6216C">
        <w:rPr>
          <w:rFonts w:ascii="Book Antiqua" w:hAnsi="Book Antiqua"/>
          <w:spacing w:val="2"/>
          <w:szCs w:val="20"/>
          <w:shd w:val="clear" w:color="auto" w:fill="FFFFFF"/>
          <w:lang w:val="id-ID"/>
        </w:rPr>
        <w:t xml:space="preserve">Saleh, R. (1983). </w:t>
      </w:r>
      <w:r w:rsidRPr="00D6216C">
        <w:rPr>
          <w:rFonts w:ascii="Book Antiqua" w:hAnsi="Book Antiqua"/>
          <w:i/>
          <w:iCs/>
          <w:spacing w:val="2"/>
          <w:szCs w:val="20"/>
          <w:shd w:val="clear" w:color="auto" w:fill="FFFFFF"/>
          <w:lang w:val="id-ID"/>
        </w:rPr>
        <w:t>Perbuatan pidana dan pertanggungjawaban pidana: Dua pengertian dalam hukum pidana</w:t>
      </w:r>
      <w:r w:rsidRPr="00D6216C">
        <w:rPr>
          <w:rFonts w:ascii="Book Antiqua" w:hAnsi="Book Antiqua"/>
          <w:spacing w:val="2"/>
          <w:szCs w:val="20"/>
          <w:shd w:val="clear" w:color="auto" w:fill="FFFFFF"/>
          <w:lang w:val="id-ID"/>
        </w:rPr>
        <w:t>. Aksara Baru, Jakarta.</w:t>
      </w:r>
    </w:p>
    <w:p w14:paraId="4B164A9E" w14:textId="08D8C9BC" w:rsidR="00D6216C" w:rsidRDefault="00D6216C" w:rsidP="00D6216C">
      <w:pPr>
        <w:ind w:left="426" w:hanging="426"/>
        <w:rPr>
          <w:rFonts w:ascii="Book Antiqua" w:hAnsi="Book Antiqua"/>
          <w:spacing w:val="-2"/>
          <w:szCs w:val="18"/>
        </w:rPr>
      </w:pPr>
      <w:r w:rsidRPr="00D6216C">
        <w:rPr>
          <w:rFonts w:ascii="Book Antiqua" w:hAnsi="Book Antiqua"/>
          <w:spacing w:val="-2"/>
          <w:szCs w:val="18"/>
        </w:rPr>
        <w:t>Simon, A. (2020). </w:t>
      </w:r>
      <w:r w:rsidRPr="00D6216C">
        <w:rPr>
          <w:rFonts w:ascii="Book Antiqua" w:hAnsi="Book Antiqua"/>
          <w:i/>
          <w:iCs/>
          <w:spacing w:val="-2"/>
          <w:szCs w:val="18"/>
        </w:rPr>
        <w:t>Ethical Issues Concerning Patient Autonomy in Clinical Practice</w:t>
      </w:r>
      <w:r w:rsidRPr="00D6216C">
        <w:rPr>
          <w:rFonts w:ascii="Book Antiqua" w:hAnsi="Book Antiqua"/>
          <w:spacing w:val="-2"/>
          <w:szCs w:val="18"/>
        </w:rPr>
        <w:t xml:space="preserve">. </w:t>
      </w:r>
      <w:hyperlink r:id="rId15" w:history="1">
        <w:r w:rsidRPr="00D35DF4">
          <w:rPr>
            <w:rStyle w:val="Hyperlink"/>
            <w:rFonts w:ascii="Book Antiqua" w:hAnsi="Book Antiqua"/>
            <w:spacing w:val="-2"/>
            <w:szCs w:val="18"/>
          </w:rPr>
          <w:t>https://doi.org/10.1007/978-3-030-56703-3_8</w:t>
        </w:r>
      </w:hyperlink>
    </w:p>
    <w:p w14:paraId="49FEF233" w14:textId="4E526C6C" w:rsidR="00D6216C" w:rsidRPr="00D6216C" w:rsidRDefault="00D6216C" w:rsidP="00D6216C">
      <w:pPr>
        <w:ind w:left="426" w:hanging="426"/>
        <w:rPr>
          <w:rFonts w:ascii="Book Antiqua" w:hAnsi="Book Antiqua"/>
          <w:spacing w:val="-2"/>
          <w:szCs w:val="20"/>
          <w:shd w:val="clear" w:color="auto" w:fill="FFFFFF"/>
          <w:lang w:val="id-ID"/>
        </w:rPr>
      </w:pPr>
      <w:r w:rsidRPr="00D6216C">
        <w:rPr>
          <w:rFonts w:ascii="Book Antiqua" w:hAnsi="Book Antiqua"/>
          <w:spacing w:val="-2"/>
          <w:szCs w:val="18"/>
          <w:lang w:val="en-ID"/>
        </w:rPr>
        <w:t>Sosiawan, A. Y., Sushanty, V. R., Wahjuningrum, D. A., &amp; Setiawan, F. (2023). A case study of informed consent in Indonesian Law Number 29, 2004. </w:t>
      </w:r>
      <w:r w:rsidRPr="00D6216C">
        <w:rPr>
          <w:rFonts w:ascii="Book Antiqua" w:hAnsi="Book Antiqua"/>
          <w:i/>
          <w:iCs/>
          <w:spacing w:val="-2"/>
          <w:szCs w:val="18"/>
          <w:lang w:val="en-ID"/>
        </w:rPr>
        <w:t>Dental Journal: Majalah Kedokteran Gigi</w:t>
      </w:r>
      <w:r w:rsidRPr="00D6216C">
        <w:rPr>
          <w:rFonts w:ascii="Book Antiqua" w:hAnsi="Book Antiqua"/>
          <w:spacing w:val="-2"/>
          <w:szCs w:val="18"/>
          <w:lang w:val="en-ID"/>
        </w:rPr>
        <w:t>. https://doi.org/10.20473/j.djmkg.v56.i1.p1-6</w:t>
      </w:r>
    </w:p>
    <w:p w14:paraId="53D1C715" w14:textId="77777777" w:rsidR="00D6216C" w:rsidRDefault="00D6216C" w:rsidP="00EB7AF8">
      <w:pPr>
        <w:ind w:left="426" w:hanging="426"/>
        <w:rPr>
          <w:rFonts w:ascii="Book Antiqua" w:hAnsi="Book Antiqua"/>
          <w:spacing w:val="2"/>
          <w:szCs w:val="20"/>
          <w:lang w:val="en-ID"/>
        </w:rPr>
      </w:pPr>
    </w:p>
    <w:p w14:paraId="5C0066F5" w14:textId="77777777" w:rsidR="00D6216C" w:rsidRDefault="00D6216C" w:rsidP="00EB7AF8">
      <w:pPr>
        <w:ind w:left="426" w:hanging="426"/>
        <w:rPr>
          <w:rFonts w:ascii="Book Antiqua" w:hAnsi="Book Antiqua"/>
          <w:spacing w:val="2"/>
          <w:szCs w:val="20"/>
          <w:lang w:val="en-ID"/>
        </w:rPr>
      </w:pPr>
    </w:p>
    <w:p w14:paraId="79C20F6A" w14:textId="77777777" w:rsidR="00D6216C" w:rsidRDefault="00D6216C" w:rsidP="00EB7AF8">
      <w:pPr>
        <w:ind w:left="426" w:hanging="426"/>
        <w:rPr>
          <w:rFonts w:ascii="Book Antiqua" w:hAnsi="Book Antiqua"/>
          <w:spacing w:val="2"/>
          <w:szCs w:val="20"/>
          <w:lang w:val="en-ID"/>
        </w:rPr>
      </w:pPr>
    </w:p>
    <w:p w14:paraId="4A336070" w14:textId="77777777" w:rsidR="00D6216C" w:rsidRDefault="00D6216C" w:rsidP="00EB7AF8">
      <w:pPr>
        <w:ind w:left="426" w:hanging="426"/>
        <w:rPr>
          <w:rFonts w:ascii="Book Antiqua" w:hAnsi="Book Antiqua"/>
          <w:spacing w:val="2"/>
          <w:szCs w:val="20"/>
          <w:lang w:val="en-ID"/>
        </w:rPr>
      </w:pPr>
    </w:p>
    <w:p w14:paraId="2B63A400" w14:textId="77777777" w:rsidR="00D6216C" w:rsidRDefault="00D6216C" w:rsidP="00EB7AF8">
      <w:pPr>
        <w:ind w:left="426" w:hanging="426"/>
        <w:rPr>
          <w:rFonts w:ascii="Book Antiqua" w:hAnsi="Book Antiqua"/>
          <w:spacing w:val="2"/>
          <w:szCs w:val="20"/>
          <w:lang w:val="en-ID"/>
        </w:rPr>
      </w:pPr>
    </w:p>
    <w:p w14:paraId="52D3D47E" w14:textId="77777777" w:rsidR="00D6216C" w:rsidRDefault="00D6216C" w:rsidP="00EB7AF8">
      <w:pPr>
        <w:ind w:left="426" w:hanging="426"/>
        <w:rPr>
          <w:rFonts w:ascii="Book Antiqua" w:hAnsi="Book Antiqua"/>
          <w:spacing w:val="2"/>
          <w:szCs w:val="20"/>
          <w:lang w:val="en-ID"/>
        </w:rPr>
      </w:pPr>
    </w:p>
    <w:p w14:paraId="47506D05" w14:textId="77777777" w:rsidR="00D6216C" w:rsidRDefault="00D6216C" w:rsidP="00EB7AF8">
      <w:pPr>
        <w:ind w:left="426" w:hanging="426"/>
        <w:rPr>
          <w:rFonts w:ascii="Book Antiqua" w:hAnsi="Book Antiqua"/>
          <w:spacing w:val="2"/>
          <w:szCs w:val="20"/>
          <w:lang w:val="en-ID"/>
        </w:rPr>
      </w:pPr>
    </w:p>
    <w:p w14:paraId="269EBADE" w14:textId="77777777" w:rsidR="00D6216C" w:rsidRDefault="00D6216C" w:rsidP="00EB7AF8">
      <w:pPr>
        <w:ind w:left="426" w:hanging="426"/>
        <w:rPr>
          <w:rFonts w:ascii="Book Antiqua" w:hAnsi="Book Antiqua"/>
          <w:spacing w:val="2"/>
          <w:szCs w:val="20"/>
          <w:lang w:val="en-ID"/>
        </w:rPr>
      </w:pPr>
    </w:p>
    <w:p w14:paraId="1860DE73" w14:textId="77777777" w:rsidR="00D6216C" w:rsidRDefault="00D6216C" w:rsidP="00EB7AF8">
      <w:pPr>
        <w:ind w:left="426" w:hanging="426"/>
        <w:rPr>
          <w:rFonts w:ascii="Book Antiqua" w:hAnsi="Book Antiqua"/>
          <w:spacing w:val="2"/>
          <w:szCs w:val="20"/>
          <w:lang w:val="en-ID"/>
        </w:rPr>
      </w:pPr>
    </w:p>
    <w:p w14:paraId="346F81BB" w14:textId="77777777" w:rsidR="00D6216C" w:rsidRDefault="00D6216C" w:rsidP="00EB7AF8">
      <w:pPr>
        <w:ind w:left="426" w:hanging="426"/>
        <w:rPr>
          <w:rFonts w:ascii="Book Antiqua" w:hAnsi="Book Antiqua"/>
          <w:spacing w:val="2"/>
          <w:szCs w:val="20"/>
          <w:lang w:val="en-ID"/>
        </w:rPr>
      </w:pPr>
    </w:p>
    <w:p w14:paraId="42F8B6DE" w14:textId="77777777" w:rsidR="00D6216C" w:rsidRDefault="00D6216C" w:rsidP="00EB7AF8">
      <w:pPr>
        <w:ind w:left="426" w:hanging="426"/>
        <w:rPr>
          <w:rFonts w:ascii="Book Antiqua" w:hAnsi="Book Antiqua"/>
          <w:spacing w:val="2"/>
          <w:szCs w:val="20"/>
          <w:lang w:val="en-ID"/>
        </w:rPr>
      </w:pPr>
    </w:p>
    <w:p w14:paraId="4E97F480" w14:textId="77777777" w:rsidR="00D6216C" w:rsidRDefault="00D6216C" w:rsidP="00EB7AF8">
      <w:pPr>
        <w:ind w:left="426" w:hanging="426"/>
        <w:rPr>
          <w:rFonts w:ascii="Book Antiqua" w:hAnsi="Book Antiqua"/>
          <w:spacing w:val="2"/>
          <w:szCs w:val="20"/>
          <w:lang w:val="en-ID"/>
        </w:rPr>
      </w:pPr>
    </w:p>
    <w:p w14:paraId="2600A70F" w14:textId="77777777" w:rsidR="00D6216C" w:rsidRDefault="00D6216C" w:rsidP="00EB7AF8">
      <w:pPr>
        <w:ind w:left="426" w:hanging="426"/>
        <w:rPr>
          <w:rFonts w:ascii="Book Antiqua" w:hAnsi="Book Antiqua"/>
          <w:spacing w:val="2"/>
          <w:szCs w:val="20"/>
          <w:lang w:val="en-ID"/>
        </w:rPr>
      </w:pPr>
    </w:p>
    <w:p w14:paraId="12E25891" w14:textId="77777777" w:rsidR="00D6216C" w:rsidRDefault="00D6216C" w:rsidP="00EB7AF8">
      <w:pPr>
        <w:ind w:left="426" w:hanging="426"/>
        <w:rPr>
          <w:rFonts w:ascii="Book Antiqua" w:hAnsi="Book Antiqua"/>
          <w:spacing w:val="2"/>
          <w:szCs w:val="20"/>
          <w:lang w:val="en-ID"/>
        </w:rPr>
      </w:pPr>
    </w:p>
    <w:p w14:paraId="28A099F7" w14:textId="77777777" w:rsidR="00D6216C" w:rsidRDefault="00D6216C" w:rsidP="00EB7AF8">
      <w:pPr>
        <w:ind w:left="426" w:hanging="426"/>
        <w:rPr>
          <w:rFonts w:ascii="Book Antiqua" w:hAnsi="Book Antiqua"/>
          <w:spacing w:val="2"/>
          <w:szCs w:val="20"/>
          <w:lang w:val="en-ID"/>
        </w:rPr>
      </w:pPr>
    </w:p>
    <w:p w14:paraId="010CBD5D" w14:textId="77777777" w:rsidR="00D6216C" w:rsidRDefault="00D6216C" w:rsidP="00EB7AF8">
      <w:pPr>
        <w:ind w:left="426" w:hanging="426"/>
        <w:rPr>
          <w:rFonts w:ascii="Book Antiqua" w:hAnsi="Book Antiqua"/>
          <w:spacing w:val="2"/>
          <w:szCs w:val="20"/>
          <w:lang w:val="en-ID"/>
        </w:rPr>
      </w:pPr>
    </w:p>
    <w:p w14:paraId="22C4F771" w14:textId="77777777" w:rsidR="00D6216C" w:rsidRDefault="00D6216C" w:rsidP="00EB7AF8">
      <w:pPr>
        <w:ind w:left="426" w:hanging="426"/>
        <w:rPr>
          <w:rFonts w:ascii="Book Antiqua" w:hAnsi="Book Antiqua"/>
          <w:spacing w:val="2"/>
          <w:szCs w:val="20"/>
          <w:lang w:val="en-ID"/>
        </w:rPr>
      </w:pPr>
    </w:p>
    <w:p w14:paraId="5D30BBD9" w14:textId="77777777" w:rsidR="00D6216C" w:rsidRDefault="00D6216C" w:rsidP="00EB7AF8">
      <w:pPr>
        <w:ind w:left="426" w:hanging="426"/>
        <w:rPr>
          <w:rFonts w:ascii="Book Antiqua" w:hAnsi="Book Antiqua"/>
          <w:spacing w:val="2"/>
          <w:szCs w:val="20"/>
          <w:lang w:val="en-ID"/>
        </w:rPr>
      </w:pPr>
    </w:p>
    <w:p w14:paraId="63D2EF88" w14:textId="77777777" w:rsidR="00D6216C" w:rsidRDefault="00D6216C" w:rsidP="00EB7AF8">
      <w:pPr>
        <w:ind w:left="426" w:hanging="426"/>
        <w:rPr>
          <w:rFonts w:ascii="Book Antiqua" w:hAnsi="Book Antiqua"/>
          <w:spacing w:val="2"/>
          <w:szCs w:val="20"/>
          <w:lang w:val="en-ID"/>
        </w:rPr>
      </w:pPr>
    </w:p>
    <w:p w14:paraId="515194AE" w14:textId="77777777" w:rsidR="00D6216C" w:rsidRDefault="00D6216C" w:rsidP="00EB7AF8">
      <w:pPr>
        <w:ind w:left="426" w:hanging="426"/>
        <w:rPr>
          <w:rFonts w:ascii="Book Antiqua" w:hAnsi="Book Antiqua"/>
          <w:spacing w:val="2"/>
          <w:szCs w:val="20"/>
          <w:lang w:val="en-ID"/>
        </w:rPr>
      </w:pPr>
    </w:p>
    <w:p w14:paraId="3D5920EA" w14:textId="77777777" w:rsidR="00D6216C" w:rsidRDefault="00D6216C" w:rsidP="00EB7AF8">
      <w:pPr>
        <w:ind w:left="426" w:hanging="426"/>
        <w:rPr>
          <w:rFonts w:ascii="Book Antiqua" w:hAnsi="Book Antiqua"/>
          <w:spacing w:val="2"/>
          <w:szCs w:val="20"/>
          <w:lang w:val="en-ID"/>
        </w:rPr>
      </w:pPr>
    </w:p>
    <w:p w14:paraId="2BA7F7AC" w14:textId="77777777" w:rsidR="00D6216C" w:rsidRDefault="00D6216C" w:rsidP="00EB7AF8">
      <w:pPr>
        <w:ind w:left="426" w:hanging="426"/>
        <w:rPr>
          <w:rFonts w:ascii="Book Antiqua" w:hAnsi="Book Antiqua"/>
          <w:spacing w:val="2"/>
          <w:szCs w:val="20"/>
          <w:lang w:val="en-ID"/>
        </w:rPr>
      </w:pPr>
    </w:p>
    <w:p w14:paraId="43292754" w14:textId="77777777" w:rsidR="00D6216C" w:rsidRDefault="00D6216C" w:rsidP="00EB7AF8">
      <w:pPr>
        <w:ind w:left="426" w:hanging="426"/>
        <w:rPr>
          <w:rFonts w:ascii="Book Antiqua" w:hAnsi="Book Antiqua"/>
          <w:spacing w:val="2"/>
          <w:szCs w:val="20"/>
          <w:lang w:val="en-ID"/>
        </w:rPr>
      </w:pPr>
    </w:p>
    <w:p w14:paraId="6F394085" w14:textId="77777777" w:rsidR="00D6216C" w:rsidRDefault="00D6216C" w:rsidP="00EB7AF8">
      <w:pPr>
        <w:ind w:left="426" w:hanging="426"/>
        <w:rPr>
          <w:rFonts w:ascii="Book Antiqua" w:hAnsi="Book Antiqua"/>
          <w:spacing w:val="2"/>
          <w:szCs w:val="20"/>
          <w:lang w:val="en-ID"/>
        </w:rPr>
      </w:pPr>
    </w:p>
    <w:p w14:paraId="2F990D58" w14:textId="77777777" w:rsidR="00D6216C" w:rsidRDefault="00D6216C" w:rsidP="00EB7AF8">
      <w:pPr>
        <w:ind w:left="426" w:hanging="426"/>
        <w:rPr>
          <w:rFonts w:ascii="Book Antiqua" w:hAnsi="Book Antiqua"/>
          <w:spacing w:val="2"/>
          <w:szCs w:val="20"/>
          <w:lang w:val="en-ID"/>
        </w:rPr>
      </w:pPr>
    </w:p>
    <w:p w14:paraId="5EE42898" w14:textId="77777777" w:rsidR="00D6216C" w:rsidRDefault="00D6216C" w:rsidP="00EB7AF8">
      <w:pPr>
        <w:ind w:left="426" w:hanging="426"/>
        <w:rPr>
          <w:rFonts w:ascii="Book Antiqua" w:hAnsi="Book Antiqua"/>
          <w:spacing w:val="2"/>
          <w:szCs w:val="20"/>
          <w:lang w:val="en-ID"/>
        </w:rPr>
      </w:pPr>
    </w:p>
    <w:p w14:paraId="47D3F010" w14:textId="77777777" w:rsidR="00D6216C" w:rsidRDefault="00D6216C" w:rsidP="00EB7AF8">
      <w:pPr>
        <w:ind w:left="426" w:hanging="426"/>
        <w:rPr>
          <w:rFonts w:ascii="Book Antiqua" w:hAnsi="Book Antiqua"/>
          <w:spacing w:val="2"/>
          <w:szCs w:val="20"/>
          <w:lang w:val="en-ID"/>
        </w:rPr>
      </w:pPr>
    </w:p>
    <w:p w14:paraId="21EE9C57" w14:textId="77777777" w:rsidR="00D6216C" w:rsidRDefault="00D6216C" w:rsidP="00EB7AF8">
      <w:pPr>
        <w:ind w:left="426" w:hanging="426"/>
        <w:rPr>
          <w:rFonts w:ascii="Book Antiqua" w:hAnsi="Book Antiqua"/>
          <w:spacing w:val="2"/>
          <w:szCs w:val="20"/>
          <w:lang w:val="en-ID"/>
        </w:rPr>
      </w:pPr>
    </w:p>
    <w:p w14:paraId="0B2A7AC8" w14:textId="77777777" w:rsidR="00D6216C" w:rsidRDefault="00D6216C" w:rsidP="00EB7AF8">
      <w:pPr>
        <w:ind w:left="426" w:hanging="426"/>
        <w:rPr>
          <w:rFonts w:ascii="Book Antiqua" w:hAnsi="Book Antiqua"/>
          <w:spacing w:val="2"/>
          <w:szCs w:val="20"/>
          <w:lang w:val="en-ID"/>
        </w:rPr>
      </w:pPr>
    </w:p>
    <w:p w14:paraId="0568E1DB" w14:textId="77777777" w:rsidR="00D6216C" w:rsidRPr="00CB18F7" w:rsidRDefault="00D6216C" w:rsidP="00D6216C">
      <w:pPr>
        <w:ind w:left="426" w:hanging="426"/>
        <w:rPr>
          <w:rFonts w:ascii="Book Antiqua" w:hAnsi="Book Antiqua"/>
          <w:spacing w:val="2"/>
          <w:szCs w:val="20"/>
          <w:shd w:val="clear" w:color="auto" w:fill="FFFFFF"/>
          <w:lang w:val="id-ID"/>
        </w:rPr>
      </w:pPr>
      <w:r w:rsidRPr="00CB18F7">
        <w:rPr>
          <w:rFonts w:ascii="Book Antiqua" w:hAnsi="Book Antiqua"/>
          <w:spacing w:val="2"/>
          <w:szCs w:val="20"/>
          <w:lang w:val="en-ID"/>
        </w:rPr>
        <w:t>Trihastuti, N., Putri, S. A., &amp; Widjanarko, B. (2020). The impact of asymmetric information in medical services: a study in progressive law. </w:t>
      </w:r>
      <w:r w:rsidRPr="00CB18F7">
        <w:rPr>
          <w:rFonts w:ascii="Book Antiqua" w:hAnsi="Book Antiqua"/>
          <w:i/>
          <w:iCs/>
          <w:spacing w:val="2"/>
          <w:szCs w:val="20"/>
          <w:lang w:val="en-ID"/>
        </w:rPr>
        <w:t>Systematic Reviews in Pharmacy</w:t>
      </w:r>
      <w:r w:rsidRPr="00CB18F7">
        <w:rPr>
          <w:rFonts w:ascii="Book Antiqua" w:hAnsi="Book Antiqua"/>
          <w:spacing w:val="2"/>
          <w:szCs w:val="20"/>
          <w:lang w:val="en-ID"/>
        </w:rPr>
        <w:t>. https://doi.org/10.31838/SRP.2020.5.124</w:t>
      </w:r>
    </w:p>
    <w:p w14:paraId="719C3C5B" w14:textId="77777777" w:rsidR="00EB7AF8" w:rsidRPr="00D6216C" w:rsidRDefault="00EB7AF8" w:rsidP="00EB7AF8">
      <w:pPr>
        <w:ind w:left="426" w:hanging="426"/>
        <w:rPr>
          <w:rFonts w:ascii="Book Antiqua" w:hAnsi="Book Antiqua"/>
          <w:spacing w:val="2"/>
          <w:szCs w:val="20"/>
          <w:shd w:val="clear" w:color="auto" w:fill="FFFFFF"/>
          <w:lang w:val="id-ID"/>
        </w:rPr>
      </w:pPr>
      <w:r w:rsidRPr="00D6216C">
        <w:rPr>
          <w:rFonts w:ascii="Book Antiqua" w:hAnsi="Book Antiqua"/>
          <w:spacing w:val="2"/>
          <w:szCs w:val="20"/>
          <w:shd w:val="clear" w:color="auto" w:fill="FFFFFF"/>
          <w:lang w:val="id-ID"/>
        </w:rPr>
        <w:t xml:space="preserve">Umam, A. R. (2022). Hak Otonomi Pasien Dalam Menentukan Persetujuan Tindakan Kedokteran Berdasarkan Transaksi Terapeutik. </w:t>
      </w:r>
      <w:r w:rsidRPr="00D6216C">
        <w:rPr>
          <w:rFonts w:ascii="Book Antiqua" w:hAnsi="Book Antiqua"/>
          <w:i/>
          <w:iCs/>
          <w:spacing w:val="2"/>
          <w:szCs w:val="20"/>
          <w:shd w:val="clear" w:color="auto" w:fill="FFFFFF"/>
          <w:lang w:val="id-ID"/>
        </w:rPr>
        <w:t>Jurist-Diction</w:t>
      </w:r>
      <w:r w:rsidRPr="00D6216C">
        <w:rPr>
          <w:rFonts w:ascii="Book Antiqua" w:hAnsi="Book Antiqua"/>
          <w:spacing w:val="2"/>
          <w:szCs w:val="20"/>
          <w:shd w:val="clear" w:color="auto" w:fill="FFFFFF"/>
          <w:lang w:val="id-ID"/>
        </w:rPr>
        <w:t>, 5(5), 1625-1650.</w:t>
      </w:r>
    </w:p>
    <w:p w14:paraId="11C46B38" w14:textId="77777777" w:rsidR="00EB7AF8" w:rsidRPr="00D6216C" w:rsidRDefault="00EB7AF8" w:rsidP="00EB7AF8">
      <w:pPr>
        <w:ind w:left="426" w:hanging="426"/>
        <w:rPr>
          <w:rFonts w:ascii="Book Antiqua" w:hAnsi="Book Antiqua"/>
          <w:spacing w:val="2"/>
          <w:szCs w:val="20"/>
          <w:shd w:val="clear" w:color="auto" w:fill="FFFFFF"/>
          <w:lang w:val="id-ID"/>
        </w:rPr>
      </w:pPr>
      <w:r w:rsidRPr="00D6216C">
        <w:rPr>
          <w:rFonts w:ascii="Book Antiqua" w:hAnsi="Book Antiqua"/>
          <w:spacing w:val="2"/>
          <w:szCs w:val="20"/>
          <w:shd w:val="clear" w:color="auto" w:fill="FFFFFF"/>
        </w:rPr>
        <w:t>White, K. L., Jordens, C. F., &amp; Kerridge, I. (2014). Contextualising professional ethics: The impact of the prison context on the practices and norms of health care practitioners. </w:t>
      </w:r>
      <w:r w:rsidRPr="00D6216C">
        <w:rPr>
          <w:rFonts w:ascii="Book Antiqua" w:hAnsi="Book Antiqua"/>
          <w:i/>
          <w:iCs/>
          <w:spacing w:val="2"/>
          <w:szCs w:val="20"/>
          <w:shd w:val="clear" w:color="auto" w:fill="FFFFFF"/>
        </w:rPr>
        <w:t>Journal of Bioethical Inquiry</w:t>
      </w:r>
      <w:r w:rsidRPr="00D6216C">
        <w:rPr>
          <w:rFonts w:ascii="Book Antiqua" w:hAnsi="Book Antiqua"/>
          <w:spacing w:val="2"/>
          <w:szCs w:val="20"/>
          <w:shd w:val="clear" w:color="auto" w:fill="FFFFFF"/>
        </w:rPr>
        <w:t>, </w:t>
      </w:r>
      <w:r w:rsidRPr="00D6216C">
        <w:rPr>
          <w:rFonts w:ascii="Book Antiqua" w:hAnsi="Book Antiqua"/>
          <w:i/>
          <w:iCs/>
          <w:spacing w:val="2"/>
          <w:szCs w:val="20"/>
          <w:shd w:val="clear" w:color="auto" w:fill="FFFFFF"/>
        </w:rPr>
        <w:t>11</w:t>
      </w:r>
      <w:r w:rsidRPr="00D6216C">
        <w:rPr>
          <w:rFonts w:ascii="Book Antiqua" w:hAnsi="Book Antiqua"/>
          <w:spacing w:val="2"/>
          <w:szCs w:val="20"/>
          <w:shd w:val="clear" w:color="auto" w:fill="FFFFFF"/>
        </w:rPr>
        <w:t>(3), 333-345.</w:t>
      </w:r>
    </w:p>
    <w:p w14:paraId="3751F612" w14:textId="77777777" w:rsidR="00EB7AF8" w:rsidRPr="00D6216C" w:rsidRDefault="00EB7AF8" w:rsidP="00EB7AF8">
      <w:pPr>
        <w:ind w:left="426" w:hanging="426"/>
        <w:rPr>
          <w:rFonts w:ascii="Book Antiqua" w:hAnsi="Book Antiqua"/>
          <w:spacing w:val="2"/>
          <w:szCs w:val="20"/>
          <w:lang w:val="en-ID"/>
        </w:rPr>
      </w:pPr>
      <w:r w:rsidRPr="00CB18F7">
        <w:rPr>
          <w:rFonts w:ascii="Book Antiqua" w:hAnsi="Book Antiqua"/>
          <w:spacing w:val="2"/>
          <w:szCs w:val="20"/>
          <w:lang w:val="en-ID"/>
        </w:rPr>
        <w:t>Yohanes, A. S., Ramalinda, D., Pertiwi, L. E., Kumalawijaya, A. P., Rahmawan, F. S., Ilyasa, M. F., &amp; Fauzan, H. A. (2022). Competency of legal subjects in informed consent as a standard agreement. </w:t>
      </w:r>
      <w:r w:rsidRPr="00CB18F7">
        <w:rPr>
          <w:rFonts w:ascii="Book Antiqua" w:hAnsi="Book Antiqua"/>
          <w:i/>
          <w:iCs/>
          <w:spacing w:val="2"/>
          <w:szCs w:val="20"/>
          <w:lang w:val="en-ID"/>
        </w:rPr>
        <w:t>International Journal of Health Sciences (IJHS)</w:t>
      </w:r>
      <w:r w:rsidRPr="00CB18F7">
        <w:rPr>
          <w:rFonts w:ascii="Book Antiqua" w:hAnsi="Book Antiqua"/>
          <w:spacing w:val="2"/>
          <w:szCs w:val="20"/>
          <w:lang w:val="en-ID"/>
        </w:rPr>
        <w:t xml:space="preserve">. </w:t>
      </w:r>
      <w:hyperlink r:id="rId16" w:history="1">
        <w:r w:rsidRPr="00CB18F7">
          <w:rPr>
            <w:rStyle w:val="Hyperlink"/>
            <w:rFonts w:ascii="Book Antiqua" w:hAnsi="Book Antiqua"/>
            <w:spacing w:val="2"/>
            <w:szCs w:val="20"/>
            <w:lang w:val="en-ID"/>
          </w:rPr>
          <w:t>https://doi.org/10.53730/ijhs.v6n3.13185</w:t>
        </w:r>
      </w:hyperlink>
    </w:p>
    <w:p w14:paraId="5E59E941" w14:textId="6DB739C0" w:rsidR="00EB7AF8" w:rsidRPr="00D6216C" w:rsidRDefault="00EB7AF8" w:rsidP="00EB7AF8">
      <w:pPr>
        <w:ind w:left="426" w:hanging="426"/>
        <w:rPr>
          <w:rFonts w:ascii="Book Antiqua" w:hAnsi="Book Antiqua"/>
          <w:spacing w:val="2"/>
          <w:szCs w:val="20"/>
          <w:shd w:val="clear" w:color="auto" w:fill="FFFFFF"/>
          <w:lang w:val="id-ID"/>
        </w:rPr>
      </w:pPr>
      <w:r w:rsidRPr="00D6216C">
        <w:rPr>
          <w:rFonts w:ascii="Book Antiqua" w:hAnsi="Book Antiqua"/>
          <w:spacing w:val="2"/>
          <w:szCs w:val="20"/>
          <w:shd w:val="clear" w:color="auto" w:fill="FFFFFF"/>
          <w:lang w:val="id-ID"/>
        </w:rPr>
        <w:t xml:space="preserve">Zaini, Z. (2019). Tinjauan Konseptual Tentang Pidana dan Pemidanaan. </w:t>
      </w:r>
      <w:r w:rsidR="00647AF7" w:rsidRPr="00D6216C">
        <w:rPr>
          <w:rFonts w:ascii="Book Antiqua" w:hAnsi="Book Antiqua"/>
          <w:i/>
          <w:iCs/>
          <w:spacing w:val="2"/>
          <w:szCs w:val="20"/>
          <w:shd w:val="clear" w:color="auto" w:fill="FFFFFF"/>
          <w:lang w:val="id-ID"/>
        </w:rPr>
        <w:t>Voice Justisia</w:t>
      </w:r>
      <w:r w:rsidRPr="00D6216C">
        <w:rPr>
          <w:rFonts w:ascii="Book Antiqua" w:hAnsi="Book Antiqua"/>
          <w:i/>
          <w:iCs/>
          <w:spacing w:val="2"/>
          <w:szCs w:val="20"/>
          <w:shd w:val="clear" w:color="auto" w:fill="FFFFFF"/>
          <w:lang w:val="id-ID"/>
        </w:rPr>
        <w:t>: Jurnal Hukum dan Keadilan</w:t>
      </w:r>
      <w:r w:rsidRPr="00D6216C">
        <w:rPr>
          <w:rFonts w:ascii="Book Antiqua" w:hAnsi="Book Antiqua"/>
          <w:spacing w:val="2"/>
          <w:szCs w:val="20"/>
          <w:shd w:val="clear" w:color="auto" w:fill="FFFFFF"/>
          <w:lang w:val="id-ID"/>
        </w:rPr>
        <w:t>, 3(2), 128-143.</w:t>
      </w:r>
    </w:p>
    <w:p w14:paraId="6A5E6777" w14:textId="77777777" w:rsidR="00966051" w:rsidRPr="00D6216C" w:rsidRDefault="00966051" w:rsidP="00774913">
      <w:pPr>
        <w:ind w:left="720" w:hanging="720"/>
        <w:rPr>
          <w:rFonts w:ascii="Book Antiqua" w:hAnsi="Book Antiqua"/>
          <w:spacing w:val="2"/>
          <w:szCs w:val="20"/>
          <w:shd w:val="clear" w:color="auto" w:fill="FFFFFF"/>
          <w:lang w:val="id-ID"/>
        </w:rPr>
      </w:pPr>
    </w:p>
    <w:p w14:paraId="258DFCB5" w14:textId="774AF55A" w:rsidR="00966051" w:rsidRPr="001E3756" w:rsidRDefault="00647AF7" w:rsidP="005C03A2">
      <w:pPr>
        <w:rPr>
          <w:rFonts w:ascii="Book Antiqua" w:hAnsi="Book Antiqua"/>
          <w:spacing w:val="-2"/>
          <w:szCs w:val="20"/>
          <w:shd w:val="clear" w:color="auto" w:fill="FFFFFF"/>
          <w:lang w:val="id-ID"/>
        </w:rPr>
      </w:pPr>
      <w:r w:rsidRPr="00221F3E">
        <w:rPr>
          <w:rFonts w:ascii="Book Antiqua" w:hAnsi="Book Antiqua"/>
          <w:noProof/>
          <w:spacing w:val="-14"/>
          <w:szCs w:val="20"/>
        </w:rPr>
        <mc:AlternateContent>
          <mc:Choice Requires="wps">
            <w:drawing>
              <wp:anchor distT="107950" distB="0" distL="114300" distR="114300" simplePos="0" relativeHeight="251665920" behindDoc="0" locked="0" layoutInCell="1" allowOverlap="1" wp14:anchorId="2DF6A175" wp14:editId="699CD586">
                <wp:simplePos x="0" y="0"/>
                <wp:positionH relativeFrom="margin">
                  <wp:posOffset>99060</wp:posOffset>
                </wp:positionH>
                <wp:positionV relativeFrom="bottomMargin">
                  <wp:posOffset>-144145</wp:posOffset>
                </wp:positionV>
                <wp:extent cx="6047740" cy="438150"/>
                <wp:effectExtent l="0" t="0" r="10160" b="0"/>
                <wp:wrapTopAndBottom/>
                <wp:docPr id="844567286"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877BE" w14:textId="4F2BE21E" w:rsidR="00647AF7" w:rsidRPr="00CF5D77" w:rsidRDefault="00647AF7" w:rsidP="00647AF7">
                            <w:pPr>
                              <w:pStyle w:val="Ventura-Keyword"/>
                              <w:jc w:val="both"/>
                              <w:rPr>
                                <w:i w:val="0"/>
                                <w:color w:val="1F497D" w:themeColor="text2"/>
                                <w:spacing w:val="-4"/>
                              </w:rPr>
                            </w:pPr>
                            <w:r w:rsidRPr="00CF5D77">
                              <w:rPr>
                                <w:color w:val="1F497D" w:themeColor="text2"/>
                                <w:spacing w:val="-4"/>
                              </w:rPr>
                              <w:t>*</w:t>
                            </w:r>
                            <w:r w:rsidRPr="00647AF7">
                              <w:rPr>
                                <w:b/>
                                <w:i w:val="0"/>
                                <w:color w:val="1F497D" w:themeColor="text2"/>
                                <w:spacing w:val="-4"/>
                              </w:rPr>
                              <w:t>Feriadi, E. H., R. K. Khayru, F. Issalillah, Y. Vitrianingsih, R. Mardikaningsih</w:t>
                            </w:r>
                            <w:r w:rsidRPr="00647AF7">
                              <w:rPr>
                                <w:b/>
                                <w:i w:val="0"/>
                                <w:color w:val="1F497D" w:themeColor="text2"/>
                                <w:spacing w:val="-4"/>
                              </w:rPr>
                              <w:t xml:space="preserve">. </w:t>
                            </w:r>
                            <w:r w:rsidRPr="00647AF7">
                              <w:rPr>
                                <w:b/>
                                <w:i w:val="0"/>
                                <w:color w:val="1F497D" w:themeColor="text2"/>
                                <w:spacing w:val="-4"/>
                              </w:rPr>
                              <w:t xml:space="preserve">(2023). Patient Autonomy, Paternalistic Healthcare Providers, and Criminal Liability in Therapeutic Contracts, </w:t>
                            </w:r>
                            <w:r w:rsidRPr="00647AF7">
                              <w:rPr>
                                <w:b/>
                                <w:color w:val="1F497D" w:themeColor="text2"/>
                                <w:spacing w:val="-4"/>
                              </w:rPr>
                              <w:t>Journal of Social Science Studies,</w:t>
                            </w:r>
                            <w:r w:rsidRPr="00647AF7">
                              <w:rPr>
                                <w:b/>
                                <w:i w:val="0"/>
                                <w:color w:val="1F497D" w:themeColor="text2"/>
                                <w:spacing w:val="-4"/>
                              </w:rPr>
                              <w:t xml:space="preserve"> 3(1), </w:t>
                            </w:r>
                            <w:r w:rsidRPr="00647AF7">
                              <w:rPr>
                                <w:b/>
                                <w:i w:val="0"/>
                                <w:color w:val="1F497D" w:themeColor="text2"/>
                                <w:spacing w:val="-4"/>
                              </w:rPr>
                              <w:t>307</w:t>
                            </w:r>
                            <w:r w:rsidRPr="00647AF7">
                              <w:rPr>
                                <w:b/>
                                <w:i w:val="0"/>
                                <w:color w:val="1F497D" w:themeColor="text2"/>
                                <w:spacing w:val="-4"/>
                              </w:rPr>
                              <w:t xml:space="preserve"> – </w:t>
                            </w:r>
                            <w:r w:rsidRPr="00647AF7">
                              <w:rPr>
                                <w:b/>
                                <w:i w:val="0"/>
                                <w:color w:val="1F497D" w:themeColor="text2"/>
                                <w:spacing w:val="-4"/>
                              </w:rPr>
                              <w:t>318</w:t>
                            </w:r>
                            <w:r w:rsidRPr="00647AF7">
                              <w:rPr>
                                <w:b/>
                                <w:i w:val="0"/>
                                <w:color w:val="1F497D" w:themeColor="text2"/>
                                <w:spacing w:val="-4"/>
                              </w:rPr>
                              <w:t>.</w:t>
                            </w:r>
                          </w:p>
                          <w:p w14:paraId="0CC69B5A" w14:textId="77777777" w:rsidR="00647AF7" w:rsidRPr="00CF5D77" w:rsidRDefault="00647AF7" w:rsidP="00647AF7">
                            <w:pPr>
                              <w:rPr>
                                <w:color w:val="1F497D" w:themeColor="text2"/>
                                <w:spacing w:val="-4"/>
                              </w:rPr>
                            </w:pPr>
                          </w:p>
                          <w:p w14:paraId="3A4291AE" w14:textId="77777777" w:rsidR="00647AF7" w:rsidRPr="00CF5D77" w:rsidRDefault="00647AF7" w:rsidP="00647AF7">
                            <w:pPr>
                              <w:rPr>
                                <w:color w:val="1F497D" w:themeColor="text2"/>
                                <w:spacing w:val="-4"/>
                              </w:rPr>
                            </w:pPr>
                          </w:p>
                          <w:p w14:paraId="26DB8CB7" w14:textId="77777777" w:rsidR="00647AF7" w:rsidRPr="00CF5D77" w:rsidRDefault="00647AF7" w:rsidP="00647AF7">
                            <w:pPr>
                              <w:rPr>
                                <w:color w:val="1F497D" w:themeColor="text2"/>
                                <w:spacing w:val="-4"/>
                              </w:rPr>
                            </w:pPr>
                          </w:p>
                          <w:p w14:paraId="4FB20D6A" w14:textId="77777777" w:rsidR="00647AF7" w:rsidRPr="00CF5D77" w:rsidRDefault="00647AF7" w:rsidP="00647AF7">
                            <w:pPr>
                              <w:rPr>
                                <w:color w:val="1F497D" w:themeColor="text2"/>
                                <w:spacing w:val="-4"/>
                              </w:rPr>
                            </w:pPr>
                          </w:p>
                          <w:p w14:paraId="7CB9798A" w14:textId="77777777" w:rsidR="00647AF7" w:rsidRPr="00CF5D77" w:rsidRDefault="00647AF7" w:rsidP="00647AF7">
                            <w:pPr>
                              <w:rPr>
                                <w:color w:val="1F497D" w:themeColor="text2"/>
                                <w:spacing w:val="-4"/>
                              </w:rPr>
                            </w:pPr>
                          </w:p>
                          <w:p w14:paraId="7278A1C2" w14:textId="77777777" w:rsidR="00647AF7" w:rsidRPr="00CF5D77" w:rsidRDefault="00647AF7" w:rsidP="00647AF7">
                            <w:pPr>
                              <w:rPr>
                                <w:color w:val="1F497D" w:themeColor="text2"/>
                                <w:spacing w:val="-4"/>
                              </w:rPr>
                            </w:pPr>
                          </w:p>
                          <w:p w14:paraId="18E28EC8" w14:textId="77777777" w:rsidR="00647AF7" w:rsidRPr="00CF5D77" w:rsidRDefault="00647AF7" w:rsidP="00647AF7">
                            <w:pPr>
                              <w:rPr>
                                <w:color w:val="1F497D" w:themeColor="text2"/>
                                <w:spacing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6A175" id="_x0000_s1027" type="#_x0000_t202" style="position:absolute;left:0;text-align:left;margin-left:7.8pt;margin-top:-11.35pt;width:476.2pt;height:34.5pt;z-index:251665920;visibility:visible;mso-wrap-style:square;mso-width-percent:0;mso-height-percent:0;mso-wrap-distance-left:9pt;mso-wrap-distance-top:8.5pt;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" filled="f" stroked="f">
                <v:textbox inset="0,0,0,0">
                  <w:txbxContent>
                    <w:p w14:paraId="526877BE" w14:textId="4F2BE21E" w:rsidR="00647AF7" w:rsidRPr="00CF5D77" w:rsidRDefault="00647AF7" w:rsidP="00647AF7">
                      <w:pPr>
                        <w:pStyle w:val="Ventura-Keyword"/>
                        <w:jc w:val="both"/>
                        <w:rPr>
                          <w:i w:val="0"/>
                          <w:color w:val="1F497D" w:themeColor="text2"/>
                          <w:spacing w:val="-4"/>
                        </w:rPr>
                      </w:pPr>
                      <w:r w:rsidRPr="00CF5D77">
                        <w:rPr>
                          <w:color w:val="1F497D" w:themeColor="text2"/>
                          <w:spacing w:val="-4"/>
                        </w:rPr>
                        <w:t>*</w:t>
                      </w:r>
                      <w:r w:rsidRPr="00647AF7">
                        <w:rPr>
                          <w:b/>
                          <w:i w:val="0"/>
                          <w:color w:val="1F497D" w:themeColor="text2"/>
                          <w:spacing w:val="-4"/>
                        </w:rPr>
                        <w:t>Feriadi, E. H., R. K. Khayru, F. Issalillah, Y. Vitrianingsih, R. Mardikaningsih</w:t>
                      </w:r>
                      <w:r w:rsidRPr="00647AF7">
                        <w:rPr>
                          <w:b/>
                          <w:i w:val="0"/>
                          <w:color w:val="1F497D" w:themeColor="text2"/>
                          <w:spacing w:val="-4"/>
                        </w:rPr>
                        <w:t xml:space="preserve">. </w:t>
                      </w:r>
                      <w:r w:rsidRPr="00647AF7">
                        <w:rPr>
                          <w:b/>
                          <w:i w:val="0"/>
                          <w:color w:val="1F497D" w:themeColor="text2"/>
                          <w:spacing w:val="-4"/>
                        </w:rPr>
                        <w:t xml:space="preserve">(2023). Patient Autonomy, Paternalistic Healthcare Providers, and Criminal Liability in Therapeutic Contracts, </w:t>
                      </w:r>
                      <w:r w:rsidRPr="00647AF7">
                        <w:rPr>
                          <w:b/>
                          <w:color w:val="1F497D" w:themeColor="text2"/>
                          <w:spacing w:val="-4"/>
                        </w:rPr>
                        <w:t>Journal of Social Science Studies,</w:t>
                      </w:r>
                      <w:r w:rsidRPr="00647AF7">
                        <w:rPr>
                          <w:b/>
                          <w:i w:val="0"/>
                          <w:color w:val="1F497D" w:themeColor="text2"/>
                          <w:spacing w:val="-4"/>
                        </w:rPr>
                        <w:t xml:space="preserve"> 3(1), </w:t>
                      </w:r>
                      <w:r w:rsidRPr="00647AF7">
                        <w:rPr>
                          <w:b/>
                          <w:i w:val="0"/>
                          <w:color w:val="1F497D" w:themeColor="text2"/>
                          <w:spacing w:val="-4"/>
                        </w:rPr>
                        <w:t>307</w:t>
                      </w:r>
                      <w:r w:rsidRPr="00647AF7">
                        <w:rPr>
                          <w:b/>
                          <w:i w:val="0"/>
                          <w:color w:val="1F497D" w:themeColor="text2"/>
                          <w:spacing w:val="-4"/>
                        </w:rPr>
                        <w:t xml:space="preserve"> – </w:t>
                      </w:r>
                      <w:r w:rsidRPr="00647AF7">
                        <w:rPr>
                          <w:b/>
                          <w:i w:val="0"/>
                          <w:color w:val="1F497D" w:themeColor="text2"/>
                          <w:spacing w:val="-4"/>
                        </w:rPr>
                        <w:t>318</w:t>
                      </w:r>
                      <w:r w:rsidRPr="00647AF7">
                        <w:rPr>
                          <w:b/>
                          <w:i w:val="0"/>
                          <w:color w:val="1F497D" w:themeColor="text2"/>
                          <w:spacing w:val="-4"/>
                        </w:rPr>
                        <w:t>.</w:t>
                      </w:r>
                    </w:p>
                    <w:p w14:paraId="0CC69B5A" w14:textId="77777777" w:rsidR="00647AF7" w:rsidRPr="00CF5D77" w:rsidRDefault="00647AF7" w:rsidP="00647AF7">
                      <w:pPr>
                        <w:rPr>
                          <w:color w:val="1F497D" w:themeColor="text2"/>
                          <w:spacing w:val="-4"/>
                        </w:rPr>
                      </w:pPr>
                    </w:p>
                    <w:p w14:paraId="3A4291AE" w14:textId="77777777" w:rsidR="00647AF7" w:rsidRPr="00CF5D77" w:rsidRDefault="00647AF7" w:rsidP="00647AF7">
                      <w:pPr>
                        <w:rPr>
                          <w:color w:val="1F497D" w:themeColor="text2"/>
                          <w:spacing w:val="-4"/>
                        </w:rPr>
                      </w:pPr>
                    </w:p>
                    <w:p w14:paraId="26DB8CB7" w14:textId="77777777" w:rsidR="00647AF7" w:rsidRPr="00CF5D77" w:rsidRDefault="00647AF7" w:rsidP="00647AF7">
                      <w:pPr>
                        <w:rPr>
                          <w:color w:val="1F497D" w:themeColor="text2"/>
                          <w:spacing w:val="-4"/>
                        </w:rPr>
                      </w:pPr>
                    </w:p>
                    <w:p w14:paraId="4FB20D6A" w14:textId="77777777" w:rsidR="00647AF7" w:rsidRPr="00CF5D77" w:rsidRDefault="00647AF7" w:rsidP="00647AF7">
                      <w:pPr>
                        <w:rPr>
                          <w:color w:val="1F497D" w:themeColor="text2"/>
                          <w:spacing w:val="-4"/>
                        </w:rPr>
                      </w:pPr>
                    </w:p>
                    <w:p w14:paraId="7CB9798A" w14:textId="77777777" w:rsidR="00647AF7" w:rsidRPr="00CF5D77" w:rsidRDefault="00647AF7" w:rsidP="00647AF7">
                      <w:pPr>
                        <w:rPr>
                          <w:color w:val="1F497D" w:themeColor="text2"/>
                          <w:spacing w:val="-4"/>
                        </w:rPr>
                      </w:pPr>
                    </w:p>
                    <w:p w14:paraId="7278A1C2" w14:textId="77777777" w:rsidR="00647AF7" w:rsidRPr="00CF5D77" w:rsidRDefault="00647AF7" w:rsidP="00647AF7">
                      <w:pPr>
                        <w:rPr>
                          <w:color w:val="1F497D" w:themeColor="text2"/>
                          <w:spacing w:val="-4"/>
                        </w:rPr>
                      </w:pPr>
                    </w:p>
                    <w:p w14:paraId="18E28EC8" w14:textId="77777777" w:rsidR="00647AF7" w:rsidRPr="00CF5D77" w:rsidRDefault="00647AF7" w:rsidP="00647AF7">
                      <w:pPr>
                        <w:rPr>
                          <w:color w:val="1F497D" w:themeColor="text2"/>
                          <w:spacing w:val="-4"/>
                        </w:rPr>
                      </w:pPr>
                    </w:p>
                  </w:txbxContent>
                </v:textbox>
                <w10:wrap type="topAndBottom" anchorx="margin" anchory="margin"/>
              </v:shape>
            </w:pict>
          </mc:Fallback>
        </mc:AlternateContent>
      </w:r>
    </w:p>
    <w:sectPr w:rsidR="00966051" w:rsidRPr="001E3756" w:rsidSect="00E1687E">
      <w:headerReference w:type="even" r:id="rId17"/>
      <w:type w:val="continuous"/>
      <w:pgSz w:w="11907" w:h="16840" w:code="9"/>
      <w:pgMar w:top="1701" w:right="1134" w:bottom="1701" w:left="1134" w:header="680" w:footer="680"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4D60F" w14:textId="77777777" w:rsidR="007164E9" w:rsidRDefault="007164E9" w:rsidP="00F155A9">
      <w:r>
        <w:separator/>
      </w:r>
    </w:p>
    <w:p w14:paraId="3A14C143" w14:textId="77777777" w:rsidR="007164E9" w:rsidRDefault="007164E9" w:rsidP="00F155A9"/>
    <w:p w14:paraId="4946E994" w14:textId="77777777" w:rsidR="007164E9" w:rsidRDefault="007164E9"/>
    <w:p w14:paraId="407B9C1F" w14:textId="77777777" w:rsidR="007164E9" w:rsidRDefault="007164E9" w:rsidP="00514123"/>
    <w:p w14:paraId="6121246E" w14:textId="77777777" w:rsidR="007164E9" w:rsidRDefault="007164E9" w:rsidP="00514123"/>
    <w:p w14:paraId="4F7F81A0" w14:textId="77777777" w:rsidR="007164E9" w:rsidRDefault="007164E9" w:rsidP="00514123"/>
    <w:p w14:paraId="699CC604" w14:textId="77777777" w:rsidR="007164E9" w:rsidRDefault="007164E9" w:rsidP="00514123"/>
    <w:p w14:paraId="3E658110" w14:textId="77777777" w:rsidR="007164E9" w:rsidRDefault="007164E9" w:rsidP="0041534F"/>
    <w:p w14:paraId="57151515" w14:textId="77777777" w:rsidR="007164E9" w:rsidRDefault="007164E9" w:rsidP="007330E3"/>
    <w:p w14:paraId="5ED6B166" w14:textId="77777777" w:rsidR="007164E9" w:rsidRDefault="007164E9" w:rsidP="007330E3"/>
    <w:p w14:paraId="6D609009" w14:textId="77777777" w:rsidR="007164E9" w:rsidRDefault="007164E9" w:rsidP="007330E3"/>
    <w:p w14:paraId="2C829E62" w14:textId="77777777" w:rsidR="007164E9" w:rsidRDefault="007164E9" w:rsidP="007330E3"/>
    <w:p w14:paraId="2A02EBD8" w14:textId="77777777" w:rsidR="007164E9" w:rsidRDefault="007164E9" w:rsidP="007330E3"/>
    <w:p w14:paraId="4D1E99EE" w14:textId="77777777" w:rsidR="007164E9" w:rsidRDefault="007164E9" w:rsidP="007330E3"/>
    <w:p w14:paraId="2A041ED9" w14:textId="77777777" w:rsidR="007164E9" w:rsidRDefault="007164E9" w:rsidP="00BF30AE"/>
    <w:p w14:paraId="7B202712" w14:textId="77777777" w:rsidR="007164E9" w:rsidRDefault="007164E9" w:rsidP="00BF30AE"/>
  </w:endnote>
  <w:endnote w:type="continuationSeparator" w:id="0">
    <w:p w14:paraId="468C112F" w14:textId="77777777" w:rsidR="007164E9" w:rsidRDefault="007164E9" w:rsidP="00F155A9">
      <w:r>
        <w:continuationSeparator/>
      </w:r>
    </w:p>
    <w:p w14:paraId="067C12BE" w14:textId="77777777" w:rsidR="007164E9" w:rsidRDefault="007164E9" w:rsidP="00F155A9"/>
    <w:p w14:paraId="60E7AE41" w14:textId="77777777" w:rsidR="007164E9" w:rsidRDefault="007164E9"/>
    <w:p w14:paraId="3314EC66" w14:textId="77777777" w:rsidR="007164E9" w:rsidRDefault="007164E9" w:rsidP="00514123"/>
    <w:p w14:paraId="44BDD767" w14:textId="77777777" w:rsidR="007164E9" w:rsidRDefault="007164E9" w:rsidP="00514123"/>
    <w:p w14:paraId="41FD55CC" w14:textId="77777777" w:rsidR="007164E9" w:rsidRDefault="007164E9" w:rsidP="00514123"/>
    <w:p w14:paraId="2ED1429C" w14:textId="77777777" w:rsidR="007164E9" w:rsidRDefault="007164E9" w:rsidP="00514123"/>
    <w:p w14:paraId="2CF529CC" w14:textId="77777777" w:rsidR="007164E9" w:rsidRDefault="007164E9" w:rsidP="0041534F"/>
    <w:p w14:paraId="545149C1" w14:textId="77777777" w:rsidR="007164E9" w:rsidRDefault="007164E9" w:rsidP="007330E3"/>
    <w:p w14:paraId="4D87585D" w14:textId="77777777" w:rsidR="007164E9" w:rsidRDefault="007164E9" w:rsidP="007330E3"/>
    <w:p w14:paraId="5C55CD29" w14:textId="77777777" w:rsidR="007164E9" w:rsidRDefault="007164E9" w:rsidP="007330E3"/>
    <w:p w14:paraId="62AC94E1" w14:textId="77777777" w:rsidR="007164E9" w:rsidRDefault="007164E9" w:rsidP="007330E3"/>
    <w:p w14:paraId="11D866AA" w14:textId="77777777" w:rsidR="007164E9" w:rsidRDefault="007164E9" w:rsidP="007330E3"/>
    <w:p w14:paraId="35E742F4" w14:textId="77777777" w:rsidR="007164E9" w:rsidRDefault="007164E9" w:rsidP="007330E3"/>
    <w:p w14:paraId="04005127" w14:textId="77777777" w:rsidR="007164E9" w:rsidRDefault="007164E9" w:rsidP="00BF30AE"/>
    <w:p w14:paraId="1B35F5B9" w14:textId="77777777" w:rsidR="007164E9" w:rsidRDefault="007164E9" w:rsidP="00BF30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0601" w14:textId="0907271E" w:rsidR="00D202D5" w:rsidRPr="00E1687E" w:rsidRDefault="00D202D5" w:rsidP="00F155A9">
    <w:pPr>
      <w:pStyle w:val="Footer"/>
      <w:rPr>
        <w:rFonts w:ascii="Book Antiqua" w:hAnsi="Book Antiqua"/>
        <w:sz w:val="20"/>
        <w:szCs w:val="20"/>
      </w:rPr>
    </w:pPr>
    <w:r w:rsidRPr="00E1687E">
      <w:rPr>
        <w:rStyle w:val="PageNumber"/>
        <w:rFonts w:ascii="Book Antiqua" w:hAnsi="Book Antiqua"/>
        <w:sz w:val="20"/>
        <w:szCs w:val="20"/>
      </w:rPr>
      <w:fldChar w:fldCharType="begin"/>
    </w:r>
    <w:r w:rsidRPr="00E1687E">
      <w:rPr>
        <w:rStyle w:val="PageNumber"/>
        <w:rFonts w:ascii="Book Antiqua" w:hAnsi="Book Antiqua"/>
        <w:sz w:val="20"/>
        <w:szCs w:val="20"/>
      </w:rPr>
      <w:instrText xml:space="preserve"> PAGE </w:instrText>
    </w:r>
    <w:r w:rsidRPr="00E1687E">
      <w:rPr>
        <w:rStyle w:val="PageNumber"/>
        <w:rFonts w:ascii="Book Antiqua" w:hAnsi="Book Antiqua"/>
        <w:sz w:val="20"/>
        <w:szCs w:val="20"/>
      </w:rPr>
      <w:fldChar w:fldCharType="separate"/>
    </w:r>
    <w:r w:rsidR="008D2EEF" w:rsidRPr="00E1687E">
      <w:rPr>
        <w:rStyle w:val="PageNumber"/>
        <w:rFonts w:ascii="Book Antiqua" w:hAnsi="Book Antiqua"/>
        <w:noProof/>
        <w:sz w:val="20"/>
        <w:szCs w:val="20"/>
      </w:rPr>
      <w:t>32</w:t>
    </w:r>
    <w:r w:rsidRPr="00E1687E">
      <w:rPr>
        <w:rStyle w:val="PageNumber"/>
        <w:rFonts w:ascii="Book Antiqua" w:hAnsi="Book Antiqu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DA249" w14:textId="755C4008" w:rsidR="00D202D5" w:rsidRPr="00E1687E" w:rsidRDefault="00D202D5" w:rsidP="00F155A9">
    <w:pPr>
      <w:pStyle w:val="Footer"/>
      <w:rPr>
        <w:rFonts w:ascii="Book Antiqua" w:hAnsi="Book Antiqua"/>
        <w:sz w:val="20"/>
        <w:szCs w:val="20"/>
      </w:rPr>
    </w:pPr>
    <w:r w:rsidRPr="00E1687E">
      <w:rPr>
        <w:rStyle w:val="PageNumber"/>
        <w:rFonts w:ascii="Book Antiqua" w:hAnsi="Book Antiqua"/>
        <w:sz w:val="20"/>
        <w:szCs w:val="20"/>
      </w:rPr>
      <w:fldChar w:fldCharType="begin"/>
    </w:r>
    <w:r w:rsidRPr="00E1687E">
      <w:rPr>
        <w:rStyle w:val="PageNumber"/>
        <w:rFonts w:ascii="Book Antiqua" w:hAnsi="Book Antiqua"/>
        <w:sz w:val="20"/>
        <w:szCs w:val="20"/>
      </w:rPr>
      <w:instrText xml:space="preserve"> PAGE </w:instrText>
    </w:r>
    <w:r w:rsidRPr="00E1687E">
      <w:rPr>
        <w:rStyle w:val="PageNumber"/>
        <w:rFonts w:ascii="Book Antiqua" w:hAnsi="Book Antiqua"/>
        <w:sz w:val="20"/>
        <w:szCs w:val="20"/>
      </w:rPr>
      <w:fldChar w:fldCharType="separate"/>
    </w:r>
    <w:r w:rsidR="008D2EEF" w:rsidRPr="00E1687E">
      <w:rPr>
        <w:rStyle w:val="PageNumber"/>
        <w:rFonts w:ascii="Book Antiqua" w:hAnsi="Book Antiqua"/>
        <w:noProof/>
        <w:sz w:val="20"/>
        <w:szCs w:val="20"/>
      </w:rPr>
      <w:t>31</w:t>
    </w:r>
    <w:r w:rsidRPr="00E1687E">
      <w:rPr>
        <w:rStyle w:val="PageNumber"/>
        <w:rFonts w:ascii="Book Antiqua" w:hAnsi="Book Antiqu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1C97" w14:textId="6FF2AD96" w:rsidR="00D202D5" w:rsidRPr="00E1687E" w:rsidRDefault="00D202D5" w:rsidP="00F155A9">
    <w:pPr>
      <w:pStyle w:val="Footer"/>
      <w:rPr>
        <w:rFonts w:ascii="Book Antiqua" w:hAnsi="Book Antiqua"/>
        <w:sz w:val="20"/>
        <w:szCs w:val="20"/>
      </w:rPr>
    </w:pPr>
    <w:r w:rsidRPr="00E1687E">
      <w:rPr>
        <w:rStyle w:val="PageNumber"/>
        <w:rFonts w:ascii="Book Antiqua" w:hAnsi="Book Antiqua"/>
        <w:sz w:val="20"/>
        <w:szCs w:val="20"/>
      </w:rPr>
      <w:fldChar w:fldCharType="begin"/>
    </w:r>
    <w:r w:rsidRPr="00E1687E">
      <w:rPr>
        <w:rStyle w:val="PageNumber"/>
        <w:rFonts w:ascii="Book Antiqua" w:hAnsi="Book Antiqua"/>
        <w:sz w:val="20"/>
        <w:szCs w:val="20"/>
      </w:rPr>
      <w:instrText xml:space="preserve"> PAGE </w:instrText>
    </w:r>
    <w:r w:rsidRPr="00E1687E">
      <w:rPr>
        <w:rStyle w:val="PageNumber"/>
        <w:rFonts w:ascii="Book Antiqua" w:hAnsi="Book Antiqua"/>
        <w:sz w:val="20"/>
        <w:szCs w:val="20"/>
      </w:rPr>
      <w:fldChar w:fldCharType="separate"/>
    </w:r>
    <w:r w:rsidR="00D27B70" w:rsidRPr="00E1687E">
      <w:rPr>
        <w:rStyle w:val="PageNumber"/>
        <w:rFonts w:ascii="Book Antiqua" w:hAnsi="Book Antiqua"/>
        <w:noProof/>
        <w:sz w:val="20"/>
        <w:szCs w:val="20"/>
      </w:rPr>
      <w:t>6</w:t>
    </w:r>
    <w:r w:rsidRPr="00E1687E">
      <w:rPr>
        <w:rStyle w:val="PageNumber"/>
        <w:rFonts w:ascii="Book Antiqua" w:hAnsi="Book Antiqu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E869B" w14:textId="77777777" w:rsidR="007164E9" w:rsidRDefault="007164E9" w:rsidP="00F155A9">
      <w:r>
        <w:separator/>
      </w:r>
    </w:p>
    <w:p w14:paraId="26FEA71A" w14:textId="77777777" w:rsidR="007164E9" w:rsidRDefault="007164E9" w:rsidP="00F155A9"/>
    <w:p w14:paraId="125D4C2B" w14:textId="77777777" w:rsidR="007164E9" w:rsidRDefault="007164E9"/>
    <w:p w14:paraId="203FB82F" w14:textId="77777777" w:rsidR="007164E9" w:rsidRDefault="007164E9" w:rsidP="00514123"/>
    <w:p w14:paraId="47899D25" w14:textId="77777777" w:rsidR="007164E9" w:rsidRDefault="007164E9" w:rsidP="00514123"/>
    <w:p w14:paraId="055E6585" w14:textId="77777777" w:rsidR="007164E9" w:rsidRDefault="007164E9" w:rsidP="00514123"/>
    <w:p w14:paraId="116940F6" w14:textId="77777777" w:rsidR="007164E9" w:rsidRDefault="007164E9" w:rsidP="00514123"/>
    <w:p w14:paraId="0DEDE633" w14:textId="77777777" w:rsidR="007164E9" w:rsidRDefault="007164E9" w:rsidP="0041534F"/>
    <w:p w14:paraId="7AA4FB48" w14:textId="77777777" w:rsidR="007164E9" w:rsidRDefault="007164E9" w:rsidP="007330E3"/>
    <w:p w14:paraId="2648E14F" w14:textId="77777777" w:rsidR="007164E9" w:rsidRDefault="007164E9" w:rsidP="007330E3"/>
    <w:p w14:paraId="54F859C2" w14:textId="77777777" w:rsidR="007164E9" w:rsidRDefault="007164E9" w:rsidP="007330E3"/>
    <w:p w14:paraId="56983AF2" w14:textId="77777777" w:rsidR="007164E9" w:rsidRDefault="007164E9" w:rsidP="007330E3"/>
    <w:p w14:paraId="291A3D18" w14:textId="77777777" w:rsidR="007164E9" w:rsidRDefault="007164E9" w:rsidP="007330E3"/>
    <w:p w14:paraId="6EA679C3" w14:textId="77777777" w:rsidR="007164E9" w:rsidRDefault="007164E9" w:rsidP="007330E3"/>
    <w:p w14:paraId="039A28F3" w14:textId="77777777" w:rsidR="007164E9" w:rsidRDefault="007164E9" w:rsidP="00BF30AE"/>
    <w:p w14:paraId="4C21B689" w14:textId="77777777" w:rsidR="007164E9" w:rsidRDefault="007164E9" w:rsidP="00BF30AE"/>
  </w:footnote>
  <w:footnote w:type="continuationSeparator" w:id="0">
    <w:p w14:paraId="613AD5EA" w14:textId="77777777" w:rsidR="007164E9" w:rsidRDefault="007164E9" w:rsidP="00F155A9">
      <w:r>
        <w:continuationSeparator/>
      </w:r>
    </w:p>
    <w:p w14:paraId="292D6DCB" w14:textId="77777777" w:rsidR="007164E9" w:rsidRDefault="007164E9" w:rsidP="00F155A9"/>
    <w:p w14:paraId="4ED9BAEB" w14:textId="77777777" w:rsidR="007164E9" w:rsidRDefault="007164E9"/>
    <w:p w14:paraId="11E4AFBA" w14:textId="77777777" w:rsidR="007164E9" w:rsidRDefault="007164E9" w:rsidP="00514123"/>
    <w:p w14:paraId="0D362AB2" w14:textId="77777777" w:rsidR="007164E9" w:rsidRDefault="007164E9" w:rsidP="00514123"/>
    <w:p w14:paraId="7210A403" w14:textId="77777777" w:rsidR="007164E9" w:rsidRDefault="007164E9" w:rsidP="00514123"/>
    <w:p w14:paraId="0370ED85" w14:textId="77777777" w:rsidR="007164E9" w:rsidRDefault="007164E9" w:rsidP="00514123"/>
    <w:p w14:paraId="1E54C67C" w14:textId="77777777" w:rsidR="007164E9" w:rsidRDefault="007164E9" w:rsidP="0041534F"/>
    <w:p w14:paraId="354F3B3E" w14:textId="77777777" w:rsidR="007164E9" w:rsidRDefault="007164E9" w:rsidP="007330E3"/>
    <w:p w14:paraId="3BA09C34" w14:textId="77777777" w:rsidR="007164E9" w:rsidRDefault="007164E9" w:rsidP="007330E3"/>
    <w:p w14:paraId="1B955933" w14:textId="77777777" w:rsidR="007164E9" w:rsidRDefault="007164E9" w:rsidP="007330E3"/>
    <w:p w14:paraId="4B8BB8FE" w14:textId="77777777" w:rsidR="007164E9" w:rsidRDefault="007164E9" w:rsidP="007330E3"/>
    <w:p w14:paraId="4A44BC58" w14:textId="77777777" w:rsidR="007164E9" w:rsidRDefault="007164E9" w:rsidP="007330E3"/>
    <w:p w14:paraId="49FA4E2A" w14:textId="77777777" w:rsidR="007164E9" w:rsidRDefault="007164E9" w:rsidP="007330E3"/>
    <w:p w14:paraId="22958510" w14:textId="77777777" w:rsidR="007164E9" w:rsidRDefault="007164E9" w:rsidP="00BF30AE"/>
    <w:p w14:paraId="5D1E8E8D" w14:textId="77777777" w:rsidR="007164E9" w:rsidRDefault="007164E9" w:rsidP="00BF30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92C0" w14:textId="049743F2" w:rsidR="00D202D5" w:rsidRPr="00FC5993" w:rsidRDefault="00D202D5" w:rsidP="003A40F4">
    <w:pPr>
      <w:pStyle w:val="Header"/>
      <w:tabs>
        <w:tab w:val="clear" w:pos="8789"/>
        <w:tab w:val="right" w:pos="9526"/>
      </w:tabs>
      <w:ind w:left="11520" w:hanging="11520"/>
      <w:jc w:val="right"/>
      <w:rPr>
        <w:sz w:val="18"/>
        <w:szCs w:val="18"/>
      </w:rPr>
    </w:pPr>
    <w:r w:rsidRPr="00FC5993">
      <w:rPr>
        <w:sz w:val="18"/>
        <w:szCs w:val="18"/>
      </w:rPr>
      <w:t>Fayola Issalillah: Pandemic Covid 19, Social Psychology, and Pregnancy: Relatedness and Analysis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A7EE" w14:textId="475DFD55" w:rsidR="003A5490" w:rsidRDefault="003A5490" w:rsidP="003A5490">
    <w:pPr>
      <w:pStyle w:val="Header"/>
      <w:tabs>
        <w:tab w:val="clear" w:pos="8789"/>
        <w:tab w:val="right" w:pos="9526"/>
      </w:tabs>
      <w:jc w:val="center"/>
    </w:pPr>
    <w:r w:rsidRPr="002E1B6C">
      <w:rPr>
        <w:b/>
        <w:i/>
        <w:iCs/>
        <w:color w:val="1F497D" w:themeColor="text2"/>
        <w:sz w:val="18"/>
        <w:szCs w:val="18"/>
      </w:rPr>
      <w:t xml:space="preserve">Journal of Social Science Studies Vol. </w:t>
    </w:r>
    <w:r w:rsidR="00E75246">
      <w:rPr>
        <w:b/>
        <w:i/>
        <w:iCs/>
        <w:color w:val="1F497D" w:themeColor="text2"/>
        <w:sz w:val="18"/>
        <w:szCs w:val="18"/>
      </w:rPr>
      <w:t>3</w:t>
    </w:r>
    <w:r w:rsidRPr="002E1B6C">
      <w:rPr>
        <w:b/>
        <w:i/>
        <w:iCs/>
        <w:color w:val="1F497D" w:themeColor="text2"/>
        <w:sz w:val="18"/>
        <w:szCs w:val="18"/>
      </w:rPr>
      <w:t>, No. 1, January 202</w:t>
    </w:r>
    <w:r w:rsidR="00E75246">
      <w:rPr>
        <w:b/>
        <w:i/>
        <w:iCs/>
        <w:color w:val="1F497D" w:themeColor="text2"/>
        <w:sz w:val="18"/>
        <w:szCs w:val="18"/>
      </w:rPr>
      <w:t>3</w:t>
    </w:r>
    <w:r w:rsidRPr="002E1B6C">
      <w:rPr>
        <w:b/>
        <w:i/>
        <w:iCs/>
        <w:color w:val="1F497D" w:themeColor="text2"/>
        <w:sz w:val="18"/>
        <w:szCs w:val="18"/>
      </w:rPr>
      <w:t xml:space="preserve">, pages </w:t>
    </w:r>
    <w:r w:rsidR="00647AF7">
      <w:rPr>
        <w:b/>
        <w:i/>
        <w:iCs/>
        <w:color w:val="1F497D" w:themeColor="text2"/>
        <w:sz w:val="18"/>
        <w:szCs w:val="18"/>
      </w:rPr>
      <w:t>307 – 318</w:t>
    </w:r>
  </w:p>
  <w:p w14:paraId="53821A52" w14:textId="77777777" w:rsidR="003A5490" w:rsidRPr="0010136A" w:rsidRDefault="003A5490" w:rsidP="003A5490">
    <w:pPr>
      <w:pStyle w:val="Header"/>
    </w:pPr>
  </w:p>
  <w:p w14:paraId="613A6BC2" w14:textId="6F7DC1C2" w:rsidR="00D202D5" w:rsidRPr="003A5490" w:rsidRDefault="00D202D5" w:rsidP="003A54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AC71" w14:textId="632DCAD9" w:rsidR="0010136A" w:rsidRDefault="0010136A" w:rsidP="0010136A">
    <w:pPr>
      <w:pStyle w:val="Header"/>
      <w:tabs>
        <w:tab w:val="clear" w:pos="8789"/>
        <w:tab w:val="right" w:pos="9526"/>
      </w:tabs>
      <w:jc w:val="center"/>
      <w:rPr>
        <w:b/>
        <w:i/>
        <w:iCs/>
        <w:color w:val="1F497D" w:themeColor="text2"/>
        <w:sz w:val="18"/>
        <w:szCs w:val="18"/>
      </w:rPr>
    </w:pPr>
    <w:r w:rsidRPr="002E1B6C">
      <w:rPr>
        <w:b/>
        <w:i/>
        <w:iCs/>
        <w:color w:val="1F497D" w:themeColor="text2"/>
        <w:sz w:val="18"/>
        <w:szCs w:val="18"/>
      </w:rPr>
      <w:t xml:space="preserve">Journal of Social Science Studies Vol. </w:t>
    </w:r>
    <w:r w:rsidR="00E75246">
      <w:rPr>
        <w:b/>
        <w:i/>
        <w:iCs/>
        <w:color w:val="1F497D" w:themeColor="text2"/>
        <w:sz w:val="18"/>
        <w:szCs w:val="18"/>
      </w:rPr>
      <w:t>3</w:t>
    </w:r>
    <w:r w:rsidRPr="002E1B6C">
      <w:rPr>
        <w:b/>
        <w:i/>
        <w:iCs/>
        <w:color w:val="1F497D" w:themeColor="text2"/>
        <w:sz w:val="18"/>
        <w:szCs w:val="18"/>
      </w:rPr>
      <w:t>, No. 1, January 202</w:t>
    </w:r>
    <w:r w:rsidR="00E75246">
      <w:rPr>
        <w:b/>
        <w:i/>
        <w:iCs/>
        <w:color w:val="1F497D" w:themeColor="text2"/>
        <w:sz w:val="18"/>
        <w:szCs w:val="18"/>
      </w:rPr>
      <w:t>3</w:t>
    </w:r>
    <w:r w:rsidRPr="002E1B6C">
      <w:rPr>
        <w:b/>
        <w:i/>
        <w:iCs/>
        <w:color w:val="1F497D" w:themeColor="text2"/>
        <w:sz w:val="18"/>
        <w:szCs w:val="18"/>
      </w:rPr>
      <w:t xml:space="preserve">, pages </w:t>
    </w:r>
    <w:r w:rsidR="00647AF7">
      <w:rPr>
        <w:b/>
        <w:i/>
        <w:iCs/>
        <w:color w:val="1F497D" w:themeColor="text2"/>
        <w:sz w:val="18"/>
        <w:szCs w:val="18"/>
      </w:rPr>
      <w:t>307</w:t>
    </w:r>
    <w:r w:rsidR="003A5490">
      <w:rPr>
        <w:b/>
        <w:i/>
        <w:iCs/>
        <w:color w:val="1F497D" w:themeColor="text2"/>
        <w:sz w:val="18"/>
        <w:szCs w:val="18"/>
      </w:rPr>
      <w:t xml:space="preserve"> </w:t>
    </w:r>
    <w:r w:rsidR="00F529CD">
      <w:rPr>
        <w:b/>
        <w:i/>
        <w:iCs/>
        <w:color w:val="1F497D" w:themeColor="text2"/>
        <w:sz w:val="18"/>
        <w:szCs w:val="18"/>
      </w:rPr>
      <w:t>–</w:t>
    </w:r>
    <w:r w:rsidR="003A5490">
      <w:rPr>
        <w:b/>
        <w:i/>
        <w:iCs/>
        <w:color w:val="1F497D" w:themeColor="text2"/>
        <w:sz w:val="18"/>
        <w:szCs w:val="18"/>
      </w:rPr>
      <w:t xml:space="preserve"> </w:t>
    </w:r>
    <w:r w:rsidR="00647AF7">
      <w:rPr>
        <w:b/>
        <w:i/>
        <w:iCs/>
        <w:color w:val="1F497D" w:themeColor="text2"/>
        <w:sz w:val="18"/>
        <w:szCs w:val="18"/>
      </w:rPr>
      <w:t>3</w:t>
    </w:r>
    <w:r w:rsidR="006C2ECB">
      <w:rPr>
        <w:b/>
        <w:i/>
        <w:iCs/>
        <w:color w:val="1F497D" w:themeColor="text2"/>
        <w:sz w:val="18"/>
        <w:szCs w:val="18"/>
      </w:rPr>
      <w:t>1</w:t>
    </w:r>
    <w:r w:rsidR="00647AF7">
      <w:rPr>
        <w:b/>
        <w:i/>
        <w:iCs/>
        <w:color w:val="1F497D" w:themeColor="text2"/>
        <w:sz w:val="18"/>
        <w:szCs w:val="18"/>
      </w:rPr>
      <w:t>8</w:t>
    </w:r>
  </w:p>
  <w:p w14:paraId="15117385" w14:textId="77777777" w:rsidR="00F529CD" w:rsidRDefault="00F529CD" w:rsidP="0010136A">
    <w:pPr>
      <w:pStyle w:val="Header"/>
      <w:tabs>
        <w:tab w:val="clear" w:pos="8789"/>
        <w:tab w:val="right" w:pos="9526"/>
      </w:tabs>
      <w:jc w:val="center"/>
    </w:pPr>
  </w:p>
  <w:p w14:paraId="5EAD63E8" w14:textId="53F4E31D" w:rsidR="00D202D5" w:rsidRPr="0010136A" w:rsidRDefault="00D202D5" w:rsidP="001013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15E8" w14:textId="3575E29B" w:rsidR="00D202D5" w:rsidRPr="002E1B6C" w:rsidRDefault="00647AF7" w:rsidP="00C75D58">
    <w:pPr>
      <w:pStyle w:val="Header"/>
      <w:tabs>
        <w:tab w:val="clear" w:pos="8789"/>
        <w:tab w:val="right" w:pos="9526"/>
      </w:tabs>
      <w:ind w:left="11520" w:hanging="11520"/>
      <w:jc w:val="right"/>
      <w:rPr>
        <w:color w:val="1F497D" w:themeColor="text2"/>
        <w:sz w:val="18"/>
        <w:szCs w:val="18"/>
      </w:rPr>
    </w:pPr>
    <w:r>
      <w:rPr>
        <w:color w:val="1F497D" w:themeColor="text2"/>
        <w:sz w:val="18"/>
        <w:szCs w:val="18"/>
      </w:rPr>
      <w:t xml:space="preserve">E. H. </w:t>
    </w:r>
    <w:r w:rsidRPr="00647AF7">
      <w:rPr>
        <w:color w:val="1F497D" w:themeColor="text2"/>
        <w:sz w:val="18"/>
        <w:szCs w:val="18"/>
      </w:rPr>
      <w:t>Feriadi,</w:t>
    </w:r>
    <w:r>
      <w:rPr>
        <w:color w:val="1F497D" w:themeColor="text2"/>
        <w:sz w:val="18"/>
        <w:szCs w:val="18"/>
      </w:rPr>
      <w:t xml:space="preserve"> </w:t>
    </w:r>
    <w:r w:rsidRPr="00647AF7">
      <w:rPr>
        <w:color w:val="1F497D" w:themeColor="text2"/>
        <w:sz w:val="18"/>
        <w:szCs w:val="18"/>
      </w:rPr>
      <w:t>R</w:t>
    </w:r>
    <w:r>
      <w:rPr>
        <w:color w:val="1F497D" w:themeColor="text2"/>
        <w:sz w:val="18"/>
        <w:szCs w:val="18"/>
      </w:rPr>
      <w:t>.</w:t>
    </w:r>
    <w:r w:rsidRPr="00647AF7">
      <w:rPr>
        <w:color w:val="1F497D" w:themeColor="text2"/>
        <w:sz w:val="18"/>
        <w:szCs w:val="18"/>
      </w:rPr>
      <w:t xml:space="preserve"> K</w:t>
    </w:r>
    <w:r>
      <w:rPr>
        <w:color w:val="1F497D" w:themeColor="text2"/>
        <w:sz w:val="18"/>
        <w:szCs w:val="18"/>
      </w:rPr>
      <w:t>.</w:t>
    </w:r>
    <w:r w:rsidRPr="00647AF7">
      <w:rPr>
        <w:color w:val="1F497D" w:themeColor="text2"/>
        <w:sz w:val="18"/>
        <w:szCs w:val="18"/>
      </w:rPr>
      <w:t xml:space="preserve"> Khayru, F</w:t>
    </w:r>
    <w:r>
      <w:rPr>
        <w:color w:val="1F497D" w:themeColor="text2"/>
        <w:sz w:val="18"/>
        <w:szCs w:val="18"/>
      </w:rPr>
      <w:t>.</w:t>
    </w:r>
    <w:r w:rsidRPr="00647AF7">
      <w:rPr>
        <w:color w:val="1F497D" w:themeColor="text2"/>
        <w:sz w:val="18"/>
        <w:szCs w:val="18"/>
      </w:rPr>
      <w:t xml:space="preserve"> Issalillah, Y</w:t>
    </w:r>
    <w:r>
      <w:rPr>
        <w:color w:val="1F497D" w:themeColor="text2"/>
        <w:sz w:val="18"/>
        <w:szCs w:val="18"/>
      </w:rPr>
      <w:t>.</w:t>
    </w:r>
    <w:r w:rsidRPr="00647AF7">
      <w:rPr>
        <w:color w:val="1F497D" w:themeColor="text2"/>
        <w:sz w:val="18"/>
        <w:szCs w:val="18"/>
      </w:rPr>
      <w:t xml:space="preserve"> Vitrianingsih, R</w:t>
    </w:r>
    <w:r>
      <w:rPr>
        <w:color w:val="1F497D" w:themeColor="text2"/>
        <w:sz w:val="18"/>
        <w:szCs w:val="18"/>
      </w:rPr>
      <w:t>.</w:t>
    </w:r>
    <w:r w:rsidRPr="00647AF7">
      <w:rPr>
        <w:color w:val="1F497D" w:themeColor="text2"/>
        <w:sz w:val="18"/>
        <w:szCs w:val="18"/>
      </w:rPr>
      <w:t xml:space="preserve"> Mardikaningsih</w:t>
    </w:r>
    <w:r w:rsidR="008961FE">
      <w:rPr>
        <w:color w:val="1F497D" w:themeColor="text2"/>
        <w:sz w:val="18"/>
        <w:szCs w:val="18"/>
      </w:rPr>
      <w:t xml:space="preserve">: </w:t>
    </w:r>
    <w:r w:rsidR="00CB18F7" w:rsidRPr="00CB18F7">
      <w:rPr>
        <w:color w:val="1F497D" w:themeColor="text2"/>
        <w:sz w:val="18"/>
        <w:szCs w:val="18"/>
      </w:rPr>
      <w:t>Patient Autonomy</w:t>
    </w:r>
    <w:r>
      <w:rPr>
        <w:color w:val="1F497D" w:themeColor="text2"/>
        <w:sz w:val="18"/>
        <w:szCs w:val="18"/>
      </w:rPr>
      <w:t xml:space="preserve"> </w:t>
    </w:r>
    <w:r w:rsidR="008961FE">
      <w:rPr>
        <w:color w:val="1F497D" w:themeColor="text2"/>
        <w:sz w:val="18"/>
        <w:szCs w:val="18"/>
      </w:rPr>
      <w:t>…</w:t>
    </w:r>
    <w:r w:rsidR="00C75D58" w:rsidRPr="002E1B6C">
      <w:rPr>
        <w:color w:val="1F497D" w:themeColor="text2"/>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511" type="#_x0000_t75" style="width:9.6pt;height:9.6pt;visibility:visible;mso-wrap-style:square" o:bullet="t">
        <v:imagedata r:id="rId1" o:title=""/>
      </v:shape>
    </w:pict>
  </w:numPicBullet>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upperLetter"/>
      <w:lvlText w:val="%1."/>
      <w:lvlJc w:val="left"/>
      <w:pPr>
        <w:tabs>
          <w:tab w:val="num" w:pos="720"/>
        </w:tabs>
        <w:ind w:left="720" w:hanging="360"/>
      </w:pPr>
    </w:lvl>
  </w:abstractNum>
  <w:abstractNum w:abstractNumId="2" w15:restartNumberingAfterBreak="0">
    <w:nsid w:val="00B5587E"/>
    <w:multiLevelType w:val="hybridMultilevel"/>
    <w:tmpl w:val="7602AEF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0BF4A0D"/>
    <w:multiLevelType w:val="hybridMultilevel"/>
    <w:tmpl w:val="6A026CCE"/>
    <w:lvl w:ilvl="0" w:tplc="842610C6">
      <w:start w:val="1"/>
      <w:numFmt w:val="decimal"/>
      <w:lvlText w:val="%1."/>
      <w:lvlJc w:val="left"/>
      <w:pPr>
        <w:ind w:left="757" w:hanging="360"/>
      </w:pPr>
      <w:rPr>
        <w:rFonts w:hint="default"/>
        <w:b w:val="0"/>
        <w:bCs w:val="0"/>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4" w15:restartNumberingAfterBreak="0">
    <w:nsid w:val="035E507A"/>
    <w:multiLevelType w:val="hybridMultilevel"/>
    <w:tmpl w:val="1792A27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04654310"/>
    <w:multiLevelType w:val="hybridMultilevel"/>
    <w:tmpl w:val="E196DB22"/>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6" w15:restartNumberingAfterBreak="0">
    <w:nsid w:val="047D4FA8"/>
    <w:multiLevelType w:val="hybridMultilevel"/>
    <w:tmpl w:val="4986FD36"/>
    <w:lvl w:ilvl="0" w:tplc="C884F63C">
      <w:start w:val="1"/>
      <w:numFmt w:val="upperLetter"/>
      <w:lvlText w:val="%1."/>
      <w:lvlJc w:val="left"/>
      <w:pPr>
        <w:ind w:left="1117" w:hanging="360"/>
      </w:pPr>
      <w:rPr>
        <w:b/>
        <w:bCs/>
        <w:color w:val="1F497D" w:themeColor="text2"/>
      </w:r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7" w15:restartNumberingAfterBreak="0">
    <w:nsid w:val="069001FF"/>
    <w:multiLevelType w:val="hybridMultilevel"/>
    <w:tmpl w:val="6EB208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6EF222E"/>
    <w:multiLevelType w:val="hybridMultilevel"/>
    <w:tmpl w:val="D1E82856"/>
    <w:lvl w:ilvl="0" w:tplc="4E6E31D2">
      <w:start w:val="1"/>
      <w:numFmt w:val="lowerLetter"/>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9" w15:restartNumberingAfterBreak="0">
    <w:nsid w:val="07916DD4"/>
    <w:multiLevelType w:val="hybridMultilevel"/>
    <w:tmpl w:val="F7C61710"/>
    <w:lvl w:ilvl="0" w:tplc="53AC6624">
      <w:start w:val="1"/>
      <w:numFmt w:val="decimal"/>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10" w15:restartNumberingAfterBreak="0">
    <w:nsid w:val="081E1AC3"/>
    <w:multiLevelType w:val="hybridMultilevel"/>
    <w:tmpl w:val="A6E080EE"/>
    <w:lvl w:ilvl="0" w:tplc="2DFA5E78">
      <w:start w:val="1"/>
      <w:numFmt w:val="decimal"/>
      <w:lvlText w:val="%1."/>
      <w:lvlJc w:val="left"/>
      <w:pPr>
        <w:ind w:left="1080" w:hanging="360"/>
      </w:pPr>
      <w:rPr>
        <w:rFonts w:ascii="Calibri" w:eastAsia="Calibri" w:hAnsi="Calibri" w:hint="default"/>
        <w:b w:val="0"/>
        <w:color w:val="auto"/>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0ADA6F6B"/>
    <w:multiLevelType w:val="hybridMultilevel"/>
    <w:tmpl w:val="2BB2B108"/>
    <w:lvl w:ilvl="0" w:tplc="4E06933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0B172C6C"/>
    <w:multiLevelType w:val="hybridMultilevel"/>
    <w:tmpl w:val="C7A0F058"/>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0BA5753E"/>
    <w:multiLevelType w:val="hybridMultilevel"/>
    <w:tmpl w:val="C3A8B84E"/>
    <w:lvl w:ilvl="0" w:tplc="7F9AA90C">
      <w:start w:val="1"/>
      <w:numFmt w:val="decimal"/>
      <w:lvlText w:val="%1."/>
      <w:lvlJc w:val="left"/>
      <w:pPr>
        <w:ind w:left="1117" w:hanging="360"/>
      </w:pPr>
      <w:rPr>
        <w:rFonts w:hint="default"/>
      </w:r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14" w15:restartNumberingAfterBreak="0">
    <w:nsid w:val="0C747603"/>
    <w:multiLevelType w:val="multilevel"/>
    <w:tmpl w:val="0AD86E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C844B0A"/>
    <w:multiLevelType w:val="hybridMultilevel"/>
    <w:tmpl w:val="6E3A0E72"/>
    <w:lvl w:ilvl="0" w:tplc="C9205C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108450F9"/>
    <w:multiLevelType w:val="hybridMultilevel"/>
    <w:tmpl w:val="402415B8"/>
    <w:lvl w:ilvl="0" w:tplc="D01072AA">
      <w:start w:val="1"/>
      <w:numFmt w:val="lowerLetter"/>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17" w15:restartNumberingAfterBreak="0">
    <w:nsid w:val="118850D4"/>
    <w:multiLevelType w:val="hybridMultilevel"/>
    <w:tmpl w:val="A50E822A"/>
    <w:lvl w:ilvl="0" w:tplc="172C771A">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13137067"/>
    <w:multiLevelType w:val="hybridMultilevel"/>
    <w:tmpl w:val="CDC0C55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14687DE2"/>
    <w:multiLevelType w:val="hybridMultilevel"/>
    <w:tmpl w:val="3EC0B00C"/>
    <w:lvl w:ilvl="0" w:tplc="A73AFF4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4CA4E7A"/>
    <w:multiLevelType w:val="hybridMultilevel"/>
    <w:tmpl w:val="B1D2565C"/>
    <w:lvl w:ilvl="0" w:tplc="B88C89B0">
      <w:start w:val="1"/>
      <w:numFmt w:val="lowerLetter"/>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21" w15:restartNumberingAfterBreak="0">
    <w:nsid w:val="15EE07B1"/>
    <w:multiLevelType w:val="hybridMultilevel"/>
    <w:tmpl w:val="FE327F98"/>
    <w:lvl w:ilvl="0" w:tplc="A072C852">
      <w:start w:val="1"/>
      <w:numFmt w:val="lowerLetter"/>
      <w:lvlText w:val="%1."/>
      <w:lvlJc w:val="left"/>
      <w:pPr>
        <w:ind w:left="810" w:hanging="360"/>
      </w:pPr>
      <w:rPr>
        <w:rFonts w:hint="default"/>
      </w:rPr>
    </w:lvl>
    <w:lvl w:ilvl="1" w:tplc="7F229942">
      <w:start w:val="1"/>
      <w:numFmt w:val="decimal"/>
      <w:lvlText w:val="%2."/>
      <w:lvlJc w:val="left"/>
      <w:pPr>
        <w:ind w:left="1530" w:hanging="360"/>
      </w:pPr>
      <w:rPr>
        <w:rFonts w:hint="default"/>
      </w:r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2" w15:restartNumberingAfterBreak="0">
    <w:nsid w:val="171832F3"/>
    <w:multiLevelType w:val="hybridMultilevel"/>
    <w:tmpl w:val="D1E0256E"/>
    <w:lvl w:ilvl="0" w:tplc="6BD64C2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1A3D52F2"/>
    <w:multiLevelType w:val="hybridMultilevel"/>
    <w:tmpl w:val="C0A03C24"/>
    <w:lvl w:ilvl="0" w:tplc="939C62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1BB77F1B"/>
    <w:multiLevelType w:val="hybridMultilevel"/>
    <w:tmpl w:val="1FC6625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1BFF42B0"/>
    <w:multiLevelType w:val="hybridMultilevel"/>
    <w:tmpl w:val="E52EDB6A"/>
    <w:lvl w:ilvl="0" w:tplc="F43C5DB4">
      <w:start w:val="1"/>
      <w:numFmt w:val="lowerLetter"/>
      <w:lvlText w:val="%1."/>
      <w:lvlJc w:val="left"/>
      <w:pPr>
        <w:ind w:left="1080" w:hanging="360"/>
      </w:pPr>
      <w:rPr>
        <w:b w:val="0"/>
        <w:bCs w:val="0"/>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1C470E39"/>
    <w:multiLevelType w:val="hybridMultilevel"/>
    <w:tmpl w:val="82F429DC"/>
    <w:lvl w:ilvl="0" w:tplc="B1406E6C">
      <w:start w:val="1"/>
      <w:numFmt w:val="decimal"/>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27" w15:restartNumberingAfterBreak="0">
    <w:nsid w:val="1DA611F9"/>
    <w:multiLevelType w:val="hybridMultilevel"/>
    <w:tmpl w:val="69CC44B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1EB967BE"/>
    <w:multiLevelType w:val="hybridMultilevel"/>
    <w:tmpl w:val="78668080"/>
    <w:lvl w:ilvl="0" w:tplc="0421000F">
      <w:start w:val="1"/>
      <w:numFmt w:val="decimal"/>
      <w:lvlText w:val="%1."/>
      <w:lvlJc w:val="left"/>
      <w:pPr>
        <w:ind w:left="900" w:hanging="360"/>
      </w:p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9" w15:restartNumberingAfterBreak="0">
    <w:nsid w:val="223A479A"/>
    <w:multiLevelType w:val="hybridMultilevel"/>
    <w:tmpl w:val="5EF2E1DC"/>
    <w:lvl w:ilvl="0" w:tplc="61F46DD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22DF727C"/>
    <w:multiLevelType w:val="hybridMultilevel"/>
    <w:tmpl w:val="1690D92E"/>
    <w:lvl w:ilvl="0" w:tplc="04210017">
      <w:start w:val="1"/>
      <w:numFmt w:val="low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31" w15:restartNumberingAfterBreak="0">
    <w:nsid w:val="23C866E3"/>
    <w:multiLevelType w:val="hybridMultilevel"/>
    <w:tmpl w:val="B21661B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24C565B6"/>
    <w:multiLevelType w:val="hybridMultilevel"/>
    <w:tmpl w:val="76226E9E"/>
    <w:lvl w:ilvl="0" w:tplc="E20C9B68">
      <w:start w:val="1"/>
      <w:numFmt w:val="decimal"/>
      <w:lvlText w:val="%1."/>
      <w:lvlJc w:val="left"/>
      <w:pPr>
        <w:ind w:left="675" w:hanging="67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15:restartNumberingAfterBreak="0">
    <w:nsid w:val="271E6370"/>
    <w:multiLevelType w:val="hybridMultilevel"/>
    <w:tmpl w:val="60AABE10"/>
    <w:lvl w:ilvl="0" w:tplc="7FAEC1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278D1041"/>
    <w:multiLevelType w:val="hybridMultilevel"/>
    <w:tmpl w:val="7E200392"/>
    <w:lvl w:ilvl="0" w:tplc="350EA6B2">
      <w:start w:val="1"/>
      <w:numFmt w:val="lowerLetter"/>
      <w:lvlText w:val="%1."/>
      <w:lvlJc w:val="left"/>
      <w:pPr>
        <w:ind w:left="1056" w:hanging="63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2856345B"/>
    <w:multiLevelType w:val="hybridMultilevel"/>
    <w:tmpl w:val="45DA3170"/>
    <w:lvl w:ilvl="0" w:tplc="93F0CD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29486647"/>
    <w:multiLevelType w:val="hybridMultilevel"/>
    <w:tmpl w:val="793EC7FE"/>
    <w:lvl w:ilvl="0" w:tplc="0421000F">
      <w:start w:val="1"/>
      <w:numFmt w:val="decimal"/>
      <w:lvlText w:val="%1."/>
      <w:lvlJc w:val="left"/>
      <w:pPr>
        <w:ind w:left="1117" w:hanging="360"/>
      </w:pPr>
    </w:lvl>
    <w:lvl w:ilvl="1" w:tplc="0421000F">
      <w:start w:val="1"/>
      <w:numFmt w:val="decimal"/>
      <w:lvlText w:val="%2."/>
      <w:lvlJc w:val="left"/>
      <w:pPr>
        <w:ind w:left="720"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37" w15:restartNumberingAfterBreak="0">
    <w:nsid w:val="2C92250C"/>
    <w:multiLevelType w:val="hybridMultilevel"/>
    <w:tmpl w:val="059819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304D3845"/>
    <w:multiLevelType w:val="hybridMultilevel"/>
    <w:tmpl w:val="E07EF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D946A8"/>
    <w:multiLevelType w:val="hybridMultilevel"/>
    <w:tmpl w:val="94B0CD68"/>
    <w:lvl w:ilvl="0" w:tplc="4C4688F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0" w15:restartNumberingAfterBreak="0">
    <w:nsid w:val="36615D79"/>
    <w:multiLevelType w:val="hybridMultilevel"/>
    <w:tmpl w:val="CB1C9634"/>
    <w:lvl w:ilvl="0" w:tplc="634A749A">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36953EBA"/>
    <w:multiLevelType w:val="hybridMultilevel"/>
    <w:tmpl w:val="5EC4080C"/>
    <w:lvl w:ilvl="0" w:tplc="142C61D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15:restartNumberingAfterBreak="0">
    <w:nsid w:val="36CF668E"/>
    <w:multiLevelType w:val="hybridMultilevel"/>
    <w:tmpl w:val="EF0E8878"/>
    <w:lvl w:ilvl="0" w:tplc="3E34C632">
      <w:start w:val="1"/>
      <w:numFmt w:val="decimal"/>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43" w15:restartNumberingAfterBreak="0">
    <w:nsid w:val="39E253F6"/>
    <w:multiLevelType w:val="hybridMultilevel"/>
    <w:tmpl w:val="83EE9F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3A5B753C"/>
    <w:multiLevelType w:val="hybridMultilevel"/>
    <w:tmpl w:val="042EBFD6"/>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3ABA34B8"/>
    <w:multiLevelType w:val="hybridMultilevel"/>
    <w:tmpl w:val="21229E52"/>
    <w:lvl w:ilvl="0" w:tplc="D41EFAF6">
      <w:start w:val="1"/>
      <w:numFmt w:val="decimal"/>
      <w:lvlText w:val="3.%1"/>
      <w:lvlJc w:val="left"/>
      <w:pPr>
        <w:ind w:left="360" w:hanging="360"/>
      </w:pPr>
      <w:rPr>
        <w:rFonts w:hint="default"/>
      </w:rPr>
    </w:lvl>
    <w:lvl w:ilvl="1" w:tplc="0030AA68">
      <w:start w:val="1"/>
      <w:numFmt w:val="lowerLetter"/>
      <w:lvlText w:val="%2."/>
      <w:lvlJc w:val="left"/>
      <w:pPr>
        <w:ind w:left="1905" w:hanging="825"/>
      </w:pPr>
      <w:rPr>
        <w:rFonts w:hint="default"/>
      </w:rPr>
    </w:lvl>
    <w:lvl w:ilvl="2" w:tplc="410612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EC2883"/>
    <w:multiLevelType w:val="hybridMultilevel"/>
    <w:tmpl w:val="EFE2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111F7B"/>
    <w:multiLevelType w:val="hybridMultilevel"/>
    <w:tmpl w:val="9560008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41325B94"/>
    <w:multiLevelType w:val="hybridMultilevel"/>
    <w:tmpl w:val="872C47EE"/>
    <w:lvl w:ilvl="0" w:tplc="D6DC73D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15:restartNumberingAfterBreak="0">
    <w:nsid w:val="42DD51DE"/>
    <w:multiLevelType w:val="hybridMultilevel"/>
    <w:tmpl w:val="E97A9146"/>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50" w15:restartNumberingAfterBreak="0">
    <w:nsid w:val="43A023F3"/>
    <w:multiLevelType w:val="hybridMultilevel"/>
    <w:tmpl w:val="BE82198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1" w15:restartNumberingAfterBreak="0">
    <w:nsid w:val="43FB35E2"/>
    <w:multiLevelType w:val="hybridMultilevel"/>
    <w:tmpl w:val="D9C039B0"/>
    <w:lvl w:ilvl="0" w:tplc="73AAB71A">
      <w:start w:val="1"/>
      <w:numFmt w:val="decimal"/>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52" w15:restartNumberingAfterBreak="0">
    <w:nsid w:val="44996598"/>
    <w:multiLevelType w:val="hybridMultilevel"/>
    <w:tmpl w:val="C0CE26CC"/>
    <w:lvl w:ilvl="0" w:tplc="4F3E4E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15:restartNumberingAfterBreak="0">
    <w:nsid w:val="45B32F6C"/>
    <w:multiLevelType w:val="hybridMultilevel"/>
    <w:tmpl w:val="A6B84B82"/>
    <w:lvl w:ilvl="0" w:tplc="0902F7D8">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54" w15:restartNumberingAfterBreak="0">
    <w:nsid w:val="47402A07"/>
    <w:multiLevelType w:val="hybridMultilevel"/>
    <w:tmpl w:val="2EF4D5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49046850"/>
    <w:multiLevelType w:val="multilevel"/>
    <w:tmpl w:val="218C3D0C"/>
    <w:lvl w:ilvl="0">
      <w:start w:val="2"/>
      <w:numFmt w:val="decimal"/>
      <w:lvlText w:val="%1"/>
      <w:lvlJc w:val="left"/>
      <w:pPr>
        <w:ind w:left="660" w:hanging="660"/>
      </w:pPr>
      <w:rPr>
        <w:rFonts w:hint="default"/>
        <w:i/>
      </w:rPr>
    </w:lvl>
    <w:lvl w:ilvl="1">
      <w:start w:val="1"/>
      <w:numFmt w:val="decimal"/>
      <w:lvlText w:val="%1.%2"/>
      <w:lvlJc w:val="left"/>
      <w:pPr>
        <w:ind w:left="660" w:hanging="660"/>
      </w:pPr>
      <w:rPr>
        <w:rFonts w:hint="default"/>
        <w:i/>
      </w:rPr>
    </w:lvl>
    <w:lvl w:ilvl="2">
      <w:start w:val="2"/>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6" w15:restartNumberingAfterBreak="0">
    <w:nsid w:val="49B4395F"/>
    <w:multiLevelType w:val="hybridMultilevel"/>
    <w:tmpl w:val="468A7342"/>
    <w:lvl w:ilvl="0" w:tplc="939C62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4C023E24"/>
    <w:multiLevelType w:val="hybridMultilevel"/>
    <w:tmpl w:val="BABC6BFA"/>
    <w:lvl w:ilvl="0" w:tplc="59E2A7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8" w15:restartNumberingAfterBreak="0">
    <w:nsid w:val="4E5D138F"/>
    <w:multiLevelType w:val="hybridMultilevel"/>
    <w:tmpl w:val="FD9258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F180A87"/>
    <w:multiLevelType w:val="hybridMultilevel"/>
    <w:tmpl w:val="01AEC2FC"/>
    <w:lvl w:ilvl="0" w:tplc="CF349F6C">
      <w:start w:val="1"/>
      <w:numFmt w:val="decimal"/>
      <w:lvlText w:val="%1."/>
      <w:lvlJc w:val="left"/>
      <w:pPr>
        <w:ind w:left="720" w:hanging="360"/>
      </w:pPr>
      <w:rPr>
        <w:rFonts w:ascii="Book Antiqua" w:hAnsi="Book Antiqua" w:hint="default"/>
        <w:b/>
        <w:bCs/>
        <w:color w:val="1F497D" w:themeColor="text2"/>
        <w:sz w:val="20"/>
        <w:szCs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4FF94A62"/>
    <w:multiLevelType w:val="hybridMultilevel"/>
    <w:tmpl w:val="ED6A8FB6"/>
    <w:lvl w:ilvl="0" w:tplc="3F3A08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5226394E"/>
    <w:multiLevelType w:val="hybridMultilevel"/>
    <w:tmpl w:val="39525E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54883C6D"/>
    <w:multiLevelType w:val="hybridMultilevel"/>
    <w:tmpl w:val="7DC45F3A"/>
    <w:lvl w:ilvl="0" w:tplc="25163A28">
      <w:start w:val="1"/>
      <w:numFmt w:val="low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63" w15:restartNumberingAfterBreak="0">
    <w:nsid w:val="54EF2D4C"/>
    <w:multiLevelType w:val="hybridMultilevel"/>
    <w:tmpl w:val="2D963CB8"/>
    <w:lvl w:ilvl="0" w:tplc="25163A28">
      <w:start w:val="1"/>
      <w:numFmt w:val="low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64" w15:restartNumberingAfterBreak="0">
    <w:nsid w:val="55781759"/>
    <w:multiLevelType w:val="hybridMultilevel"/>
    <w:tmpl w:val="FA342BF2"/>
    <w:lvl w:ilvl="0" w:tplc="6CA8F106">
      <w:start w:val="1"/>
      <w:numFmt w:val="lowerLetter"/>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65" w15:restartNumberingAfterBreak="0">
    <w:nsid w:val="56F25184"/>
    <w:multiLevelType w:val="hybridMultilevel"/>
    <w:tmpl w:val="071055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57384566"/>
    <w:multiLevelType w:val="hybridMultilevel"/>
    <w:tmpl w:val="AA702C2A"/>
    <w:lvl w:ilvl="0" w:tplc="A9DA8250">
      <w:start w:val="1"/>
      <w:numFmt w:val="upperLetter"/>
      <w:lvlText w:val="%1."/>
      <w:lvlJc w:val="left"/>
      <w:pPr>
        <w:ind w:left="720" w:hanging="360"/>
      </w:pPr>
      <w:rPr>
        <w:rFonts w:hint="default"/>
        <w:b/>
        <w:bCs/>
        <w:color w:val="1F497D" w:themeColor="text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577F6964"/>
    <w:multiLevelType w:val="hybridMultilevel"/>
    <w:tmpl w:val="DF88EA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5915455E"/>
    <w:multiLevelType w:val="hybridMultilevel"/>
    <w:tmpl w:val="F762FCC8"/>
    <w:lvl w:ilvl="0" w:tplc="04210011">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69" w15:restartNumberingAfterBreak="0">
    <w:nsid w:val="59D87962"/>
    <w:multiLevelType w:val="hybridMultilevel"/>
    <w:tmpl w:val="CAE2F7EC"/>
    <w:lvl w:ilvl="0" w:tplc="939C625A">
      <w:start w:val="1"/>
      <w:numFmt w:val="decimal"/>
      <w:lvlText w:val="(%1)."/>
      <w:lvlJc w:val="left"/>
      <w:pPr>
        <w:ind w:left="1117" w:hanging="360"/>
      </w:pPr>
      <w:rPr>
        <w:rFonts w:hint="default"/>
      </w:r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70" w15:restartNumberingAfterBreak="0">
    <w:nsid w:val="5BDF45E4"/>
    <w:multiLevelType w:val="hybridMultilevel"/>
    <w:tmpl w:val="BEE02662"/>
    <w:lvl w:ilvl="0" w:tplc="968AA17C">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71" w15:restartNumberingAfterBreak="0">
    <w:nsid w:val="5C1E369A"/>
    <w:multiLevelType w:val="multilevel"/>
    <w:tmpl w:val="0060D5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C2B36EB"/>
    <w:multiLevelType w:val="hybridMultilevel"/>
    <w:tmpl w:val="B40CA5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15:restartNumberingAfterBreak="0">
    <w:nsid w:val="5F533B86"/>
    <w:multiLevelType w:val="hybridMultilevel"/>
    <w:tmpl w:val="DEA4FDF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4" w15:restartNumberingAfterBreak="0">
    <w:nsid w:val="608A50DC"/>
    <w:multiLevelType w:val="hybridMultilevel"/>
    <w:tmpl w:val="B254B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2B21150"/>
    <w:multiLevelType w:val="hybridMultilevel"/>
    <w:tmpl w:val="72361C36"/>
    <w:lvl w:ilvl="0" w:tplc="59348AC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6" w15:restartNumberingAfterBreak="0">
    <w:nsid w:val="63765F31"/>
    <w:multiLevelType w:val="hybridMultilevel"/>
    <w:tmpl w:val="1B0296D2"/>
    <w:lvl w:ilvl="0" w:tplc="1EC8268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7" w15:restartNumberingAfterBreak="0">
    <w:nsid w:val="64474863"/>
    <w:multiLevelType w:val="hybridMultilevel"/>
    <w:tmpl w:val="6F544736"/>
    <w:lvl w:ilvl="0" w:tplc="F27AE0AE">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648C1B75"/>
    <w:multiLevelType w:val="hybridMultilevel"/>
    <w:tmpl w:val="1200007C"/>
    <w:lvl w:ilvl="0" w:tplc="112C0D22">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9" w15:restartNumberingAfterBreak="0">
    <w:nsid w:val="64C81DEE"/>
    <w:multiLevelType w:val="hybridMultilevel"/>
    <w:tmpl w:val="2DB856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64CD4AB0"/>
    <w:multiLevelType w:val="hybridMultilevel"/>
    <w:tmpl w:val="2FA8933A"/>
    <w:lvl w:ilvl="0" w:tplc="5274BD78">
      <w:start w:val="1"/>
      <w:numFmt w:val="low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81" w15:restartNumberingAfterBreak="0">
    <w:nsid w:val="680C5847"/>
    <w:multiLevelType w:val="hybridMultilevel"/>
    <w:tmpl w:val="D00E5E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15:restartNumberingAfterBreak="0">
    <w:nsid w:val="69B348C1"/>
    <w:multiLevelType w:val="hybridMultilevel"/>
    <w:tmpl w:val="4E34B79C"/>
    <w:lvl w:ilvl="0" w:tplc="9650F9D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3" w15:restartNumberingAfterBreak="0">
    <w:nsid w:val="69F36A54"/>
    <w:multiLevelType w:val="hybridMultilevel"/>
    <w:tmpl w:val="0770CDC8"/>
    <w:lvl w:ilvl="0" w:tplc="A372F704">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4" w15:restartNumberingAfterBreak="0">
    <w:nsid w:val="6CE72B3C"/>
    <w:multiLevelType w:val="hybridMultilevel"/>
    <w:tmpl w:val="A4C0DBD4"/>
    <w:lvl w:ilvl="0" w:tplc="C9B25E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5" w15:restartNumberingAfterBreak="0">
    <w:nsid w:val="6F4C18FE"/>
    <w:multiLevelType w:val="hybridMultilevel"/>
    <w:tmpl w:val="05840C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6" w15:restartNumberingAfterBreak="0">
    <w:nsid w:val="71E404B3"/>
    <w:multiLevelType w:val="hybridMultilevel"/>
    <w:tmpl w:val="EE5CDF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72ED4918"/>
    <w:multiLevelType w:val="hybridMultilevel"/>
    <w:tmpl w:val="C082E7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15:restartNumberingAfterBreak="0">
    <w:nsid w:val="73DB5C85"/>
    <w:multiLevelType w:val="hybridMultilevel"/>
    <w:tmpl w:val="ECBC70EE"/>
    <w:lvl w:ilvl="0" w:tplc="1400935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9" w15:restartNumberingAfterBreak="0">
    <w:nsid w:val="740656DE"/>
    <w:multiLevelType w:val="hybridMultilevel"/>
    <w:tmpl w:val="A12EE7A4"/>
    <w:lvl w:ilvl="0" w:tplc="0421000F">
      <w:start w:val="1"/>
      <w:numFmt w:val="decimal"/>
      <w:lvlText w:val="%1."/>
      <w:lvlJc w:val="left"/>
      <w:pPr>
        <w:ind w:left="198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90" w15:restartNumberingAfterBreak="0">
    <w:nsid w:val="742174FB"/>
    <w:multiLevelType w:val="hybridMultilevel"/>
    <w:tmpl w:val="F4CA78CE"/>
    <w:lvl w:ilvl="0" w:tplc="666E28F8">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1" w15:restartNumberingAfterBreak="0">
    <w:nsid w:val="7580761D"/>
    <w:multiLevelType w:val="hybridMultilevel"/>
    <w:tmpl w:val="14C41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2" w15:restartNumberingAfterBreak="0">
    <w:nsid w:val="77DE4929"/>
    <w:multiLevelType w:val="hybridMultilevel"/>
    <w:tmpl w:val="C1324C40"/>
    <w:lvl w:ilvl="0" w:tplc="A4B4FD30">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3" w15:restartNumberingAfterBreak="0">
    <w:nsid w:val="7A1F41C8"/>
    <w:multiLevelType w:val="hybridMultilevel"/>
    <w:tmpl w:val="8B909F52"/>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94" w15:restartNumberingAfterBreak="0">
    <w:nsid w:val="7A734FC1"/>
    <w:multiLevelType w:val="hybridMultilevel"/>
    <w:tmpl w:val="B86A4040"/>
    <w:lvl w:ilvl="0" w:tplc="04210017">
      <w:start w:val="1"/>
      <w:numFmt w:val="lowerLetter"/>
      <w:lvlText w:val="%1)"/>
      <w:lvlJc w:val="left"/>
      <w:pPr>
        <w:ind w:left="198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95" w15:restartNumberingAfterBreak="0">
    <w:nsid w:val="7A945E58"/>
    <w:multiLevelType w:val="hybridMultilevel"/>
    <w:tmpl w:val="7BD07C86"/>
    <w:lvl w:ilvl="0" w:tplc="8F9AA8F0">
      <w:start w:val="1"/>
      <w:numFmt w:val="lowerLetter"/>
      <w:lvlText w:val="(%1)"/>
      <w:lvlJc w:val="left"/>
      <w:pPr>
        <w:ind w:left="690" w:hanging="69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6" w15:restartNumberingAfterBreak="0">
    <w:nsid w:val="7AA4269E"/>
    <w:multiLevelType w:val="hybridMultilevel"/>
    <w:tmpl w:val="8360A22C"/>
    <w:lvl w:ilvl="0" w:tplc="AD0C1434">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15:restartNumberingAfterBreak="0">
    <w:nsid w:val="7B067277"/>
    <w:multiLevelType w:val="hybridMultilevel"/>
    <w:tmpl w:val="1BE216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8" w15:restartNumberingAfterBreak="0">
    <w:nsid w:val="7BD57C99"/>
    <w:multiLevelType w:val="hybridMultilevel"/>
    <w:tmpl w:val="8250B576"/>
    <w:lvl w:ilvl="0" w:tplc="1D4A049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9" w15:restartNumberingAfterBreak="0">
    <w:nsid w:val="7DC41FC6"/>
    <w:multiLevelType w:val="hybridMultilevel"/>
    <w:tmpl w:val="5E08B388"/>
    <w:lvl w:ilvl="0" w:tplc="0421000F">
      <w:start w:val="1"/>
      <w:numFmt w:val="decimal"/>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num w:numId="1" w16cid:durableId="1258179098">
    <w:abstractNumId w:val="32"/>
  </w:num>
  <w:num w:numId="2" w16cid:durableId="587235004">
    <w:abstractNumId w:val="18"/>
  </w:num>
  <w:num w:numId="3" w16cid:durableId="822700246">
    <w:abstractNumId w:val="3"/>
  </w:num>
  <w:num w:numId="4" w16cid:durableId="608271338">
    <w:abstractNumId w:val="34"/>
  </w:num>
  <w:num w:numId="5" w16cid:durableId="2129006840">
    <w:abstractNumId w:val="45"/>
  </w:num>
  <w:num w:numId="6" w16cid:durableId="1449618552">
    <w:abstractNumId w:val="99"/>
  </w:num>
  <w:num w:numId="7" w16cid:durableId="1050879126">
    <w:abstractNumId w:val="95"/>
  </w:num>
  <w:num w:numId="8" w16cid:durableId="1836333507">
    <w:abstractNumId w:val="38"/>
  </w:num>
  <w:num w:numId="9" w16cid:durableId="999115596">
    <w:abstractNumId w:val="82"/>
  </w:num>
  <w:num w:numId="10" w16cid:durableId="215052772">
    <w:abstractNumId w:val="78"/>
  </w:num>
  <w:num w:numId="11" w16cid:durableId="597716393">
    <w:abstractNumId w:val="39"/>
  </w:num>
  <w:num w:numId="12" w16cid:durableId="102963060">
    <w:abstractNumId w:val="33"/>
  </w:num>
  <w:num w:numId="13" w16cid:durableId="1876304943">
    <w:abstractNumId w:val="55"/>
  </w:num>
  <w:num w:numId="14" w16cid:durableId="812990589">
    <w:abstractNumId w:val="14"/>
  </w:num>
  <w:num w:numId="15" w16cid:durableId="1181581096">
    <w:abstractNumId w:val="46"/>
  </w:num>
  <w:num w:numId="16" w16cid:durableId="1425414396">
    <w:abstractNumId w:val="57"/>
  </w:num>
  <w:num w:numId="17" w16cid:durableId="930699204">
    <w:abstractNumId w:val="84"/>
  </w:num>
  <w:num w:numId="18" w16cid:durableId="568224923">
    <w:abstractNumId w:val="27"/>
  </w:num>
  <w:num w:numId="19" w16cid:durableId="566647702">
    <w:abstractNumId w:val="71"/>
  </w:num>
  <w:num w:numId="20" w16cid:durableId="1158036055">
    <w:abstractNumId w:val="19"/>
  </w:num>
  <w:num w:numId="21" w16cid:durableId="268121874">
    <w:abstractNumId w:val="74"/>
  </w:num>
  <w:num w:numId="22" w16cid:durableId="921986389">
    <w:abstractNumId w:val="54"/>
  </w:num>
  <w:num w:numId="23" w16cid:durableId="951087223">
    <w:abstractNumId w:val="20"/>
  </w:num>
  <w:num w:numId="24" w16cid:durableId="780347002">
    <w:abstractNumId w:val="68"/>
  </w:num>
  <w:num w:numId="25" w16cid:durableId="1958951787">
    <w:abstractNumId w:val="8"/>
  </w:num>
  <w:num w:numId="26" w16cid:durableId="1947495106">
    <w:abstractNumId w:val="16"/>
  </w:num>
  <w:num w:numId="27" w16cid:durableId="2043045052">
    <w:abstractNumId w:val="69"/>
  </w:num>
  <w:num w:numId="28" w16cid:durableId="1039168447">
    <w:abstractNumId w:val="49"/>
  </w:num>
  <w:num w:numId="29" w16cid:durableId="458840410">
    <w:abstractNumId w:val="11"/>
  </w:num>
  <w:num w:numId="30" w16cid:durableId="584415099">
    <w:abstractNumId w:val="93"/>
  </w:num>
  <w:num w:numId="31" w16cid:durableId="1693023997">
    <w:abstractNumId w:val="5"/>
  </w:num>
  <w:num w:numId="32" w16cid:durableId="1491141075">
    <w:abstractNumId w:val="29"/>
  </w:num>
  <w:num w:numId="33" w16cid:durableId="2066025021">
    <w:abstractNumId w:val="81"/>
  </w:num>
  <w:num w:numId="34" w16cid:durableId="1352949679">
    <w:abstractNumId w:val="76"/>
  </w:num>
  <w:num w:numId="35" w16cid:durableId="1646351486">
    <w:abstractNumId w:val="44"/>
  </w:num>
  <w:num w:numId="36" w16cid:durableId="1480533057">
    <w:abstractNumId w:val="12"/>
  </w:num>
  <w:num w:numId="37" w16cid:durableId="1103651290">
    <w:abstractNumId w:val="64"/>
  </w:num>
  <w:num w:numId="38" w16cid:durableId="816337614">
    <w:abstractNumId w:val="96"/>
  </w:num>
  <w:num w:numId="39" w16cid:durableId="639069954">
    <w:abstractNumId w:val="87"/>
  </w:num>
  <w:num w:numId="40" w16cid:durableId="554320548">
    <w:abstractNumId w:val="66"/>
  </w:num>
  <w:num w:numId="41" w16cid:durableId="1991595738">
    <w:abstractNumId w:val="31"/>
  </w:num>
  <w:num w:numId="42" w16cid:durableId="510146105">
    <w:abstractNumId w:val="67"/>
  </w:num>
  <w:num w:numId="43" w16cid:durableId="1510868076">
    <w:abstractNumId w:val="56"/>
  </w:num>
  <w:num w:numId="44" w16cid:durableId="81799491">
    <w:abstractNumId w:val="23"/>
  </w:num>
  <w:num w:numId="45" w16cid:durableId="1190333736">
    <w:abstractNumId w:val="91"/>
  </w:num>
  <w:num w:numId="46" w16cid:durableId="587889067">
    <w:abstractNumId w:val="85"/>
  </w:num>
  <w:num w:numId="47" w16cid:durableId="1046878314">
    <w:abstractNumId w:val="58"/>
  </w:num>
  <w:num w:numId="48" w16cid:durableId="1361083268">
    <w:abstractNumId w:val="50"/>
  </w:num>
  <w:num w:numId="49" w16cid:durableId="2072070528">
    <w:abstractNumId w:val="6"/>
  </w:num>
  <w:num w:numId="50" w16cid:durableId="1573928083">
    <w:abstractNumId w:val="4"/>
  </w:num>
  <w:num w:numId="51" w16cid:durableId="1297760585">
    <w:abstractNumId w:val="73"/>
  </w:num>
  <w:num w:numId="52" w16cid:durableId="2047755668">
    <w:abstractNumId w:val="89"/>
  </w:num>
  <w:num w:numId="53" w16cid:durableId="953902643">
    <w:abstractNumId w:val="30"/>
  </w:num>
  <w:num w:numId="54" w16cid:durableId="1423723481">
    <w:abstractNumId w:val="94"/>
  </w:num>
  <w:num w:numId="55" w16cid:durableId="1038163569">
    <w:abstractNumId w:val="79"/>
  </w:num>
  <w:num w:numId="56" w16cid:durableId="621498884">
    <w:abstractNumId w:val="9"/>
  </w:num>
  <w:num w:numId="57" w16cid:durableId="252205380">
    <w:abstractNumId w:val="62"/>
  </w:num>
  <w:num w:numId="58" w16cid:durableId="1777093780">
    <w:abstractNumId w:val="63"/>
  </w:num>
  <w:num w:numId="59" w16cid:durableId="2023126399">
    <w:abstractNumId w:val="77"/>
  </w:num>
  <w:num w:numId="60" w16cid:durableId="1845706145">
    <w:abstractNumId w:val="88"/>
  </w:num>
  <w:num w:numId="61" w16cid:durableId="1874229806">
    <w:abstractNumId w:val="10"/>
  </w:num>
  <w:num w:numId="62" w16cid:durableId="1876653194">
    <w:abstractNumId w:val="40"/>
  </w:num>
  <w:num w:numId="63" w16cid:durableId="2089188352">
    <w:abstractNumId w:val="21"/>
  </w:num>
  <w:num w:numId="64" w16cid:durableId="920677864">
    <w:abstractNumId w:val="37"/>
  </w:num>
  <w:num w:numId="65" w16cid:durableId="1147864279">
    <w:abstractNumId w:val="61"/>
  </w:num>
  <w:num w:numId="66" w16cid:durableId="1890140468">
    <w:abstractNumId w:val="36"/>
  </w:num>
  <w:num w:numId="67" w16cid:durableId="618532781">
    <w:abstractNumId w:val="24"/>
  </w:num>
  <w:num w:numId="68" w16cid:durableId="603272787">
    <w:abstractNumId w:val="65"/>
  </w:num>
  <w:num w:numId="69" w16cid:durableId="578172352">
    <w:abstractNumId w:val="43"/>
  </w:num>
  <w:num w:numId="70" w16cid:durableId="102461137">
    <w:abstractNumId w:val="28"/>
  </w:num>
  <w:num w:numId="71" w16cid:durableId="1027830020">
    <w:abstractNumId w:val="53"/>
  </w:num>
  <w:num w:numId="72" w16cid:durableId="392970632">
    <w:abstractNumId w:val="70"/>
  </w:num>
  <w:num w:numId="73" w16cid:durableId="903023647">
    <w:abstractNumId w:val="2"/>
  </w:num>
  <w:num w:numId="74" w16cid:durableId="2041084793">
    <w:abstractNumId w:val="7"/>
  </w:num>
  <w:num w:numId="75" w16cid:durableId="896936969">
    <w:abstractNumId w:val="59"/>
  </w:num>
  <w:num w:numId="76" w16cid:durableId="1550800578">
    <w:abstractNumId w:val="17"/>
  </w:num>
  <w:num w:numId="77" w16cid:durableId="1427531241">
    <w:abstractNumId w:val="86"/>
  </w:num>
  <w:num w:numId="78" w16cid:durableId="1989162923">
    <w:abstractNumId w:val="15"/>
  </w:num>
  <w:num w:numId="79" w16cid:durableId="1183786643">
    <w:abstractNumId w:val="98"/>
  </w:num>
  <w:num w:numId="80" w16cid:durableId="1112548993">
    <w:abstractNumId w:val="35"/>
  </w:num>
  <w:num w:numId="81" w16cid:durableId="1193302629">
    <w:abstractNumId w:val="60"/>
  </w:num>
  <w:num w:numId="82" w16cid:durableId="28260603">
    <w:abstractNumId w:val="80"/>
  </w:num>
  <w:num w:numId="83" w16cid:durableId="1683781354">
    <w:abstractNumId w:val="47"/>
  </w:num>
  <w:num w:numId="84" w16cid:durableId="827667923">
    <w:abstractNumId w:val="75"/>
  </w:num>
  <w:num w:numId="85" w16cid:durableId="596790284">
    <w:abstractNumId w:val="52"/>
  </w:num>
  <w:num w:numId="86" w16cid:durableId="909659822">
    <w:abstractNumId w:val="90"/>
  </w:num>
  <w:num w:numId="87" w16cid:durableId="1296565519">
    <w:abstractNumId w:val="83"/>
  </w:num>
  <w:num w:numId="88" w16cid:durableId="897276862">
    <w:abstractNumId w:val="92"/>
  </w:num>
  <w:num w:numId="89" w16cid:durableId="1407261956">
    <w:abstractNumId w:val="48"/>
  </w:num>
  <w:num w:numId="90" w16cid:durableId="311712330">
    <w:abstractNumId w:val="25"/>
  </w:num>
  <w:num w:numId="91" w16cid:durableId="1725326651">
    <w:abstractNumId w:val="72"/>
  </w:num>
  <w:num w:numId="92" w16cid:durableId="971129573">
    <w:abstractNumId w:val="97"/>
  </w:num>
  <w:num w:numId="93" w16cid:durableId="248656113">
    <w:abstractNumId w:val="13"/>
  </w:num>
  <w:num w:numId="94" w16cid:durableId="1798525898">
    <w:abstractNumId w:val="51"/>
  </w:num>
  <w:num w:numId="95" w16cid:durableId="823398384">
    <w:abstractNumId w:val="42"/>
  </w:num>
  <w:num w:numId="96" w16cid:durableId="1047678365">
    <w:abstractNumId w:val="26"/>
  </w:num>
  <w:num w:numId="97" w16cid:durableId="1710182485">
    <w:abstractNumId w:val="41"/>
  </w:num>
  <w:num w:numId="98" w16cid:durableId="125393967">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US" w:vendorID="64" w:dllVersion="6" w:nlCheck="1" w:checkStyle="0"/>
  <w:activeWritingStyle w:appName="MSWord" w:lang="en-GB" w:vendorID="64" w:dllVersion="6" w:nlCheck="1" w:checkStyle="1"/>
  <w:activeWritingStyle w:appName="MSWord" w:lang="es-ES" w:vendorID="64" w:dllVersion="6" w:nlCheck="1" w:checkStyle="1"/>
  <w:activeWritingStyle w:appName="MSWord" w:lang="en-US" w:vendorID="64" w:dllVersion="4096" w:nlCheck="1" w:checkStyle="0"/>
  <w:activeWritingStyle w:appName="MSWord" w:lang="en-GB" w:vendorID="64" w:dllVersion="4096"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39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232"/>
    <w:rsid w:val="00000267"/>
    <w:rsid w:val="00000918"/>
    <w:rsid w:val="00005861"/>
    <w:rsid w:val="00005ECB"/>
    <w:rsid w:val="00006E7F"/>
    <w:rsid w:val="0001056D"/>
    <w:rsid w:val="00010F31"/>
    <w:rsid w:val="00015287"/>
    <w:rsid w:val="000152FC"/>
    <w:rsid w:val="0001597B"/>
    <w:rsid w:val="000174F9"/>
    <w:rsid w:val="00017BE6"/>
    <w:rsid w:val="00021103"/>
    <w:rsid w:val="00021DC6"/>
    <w:rsid w:val="00021DED"/>
    <w:rsid w:val="00023CA0"/>
    <w:rsid w:val="000259BC"/>
    <w:rsid w:val="00025D63"/>
    <w:rsid w:val="00027EF1"/>
    <w:rsid w:val="00030B0F"/>
    <w:rsid w:val="0003450E"/>
    <w:rsid w:val="00035284"/>
    <w:rsid w:val="000365B9"/>
    <w:rsid w:val="00041CFD"/>
    <w:rsid w:val="0004236D"/>
    <w:rsid w:val="00042AC7"/>
    <w:rsid w:val="0004370C"/>
    <w:rsid w:val="00043C05"/>
    <w:rsid w:val="00045644"/>
    <w:rsid w:val="00047786"/>
    <w:rsid w:val="00050015"/>
    <w:rsid w:val="00050F62"/>
    <w:rsid w:val="00050FC6"/>
    <w:rsid w:val="00051C4F"/>
    <w:rsid w:val="00052336"/>
    <w:rsid w:val="00052B68"/>
    <w:rsid w:val="00052F0E"/>
    <w:rsid w:val="00053B61"/>
    <w:rsid w:val="000543F1"/>
    <w:rsid w:val="0005557F"/>
    <w:rsid w:val="00056250"/>
    <w:rsid w:val="00057A02"/>
    <w:rsid w:val="00060047"/>
    <w:rsid w:val="000643F3"/>
    <w:rsid w:val="000700A7"/>
    <w:rsid w:val="0007067A"/>
    <w:rsid w:val="0007218C"/>
    <w:rsid w:val="00073995"/>
    <w:rsid w:val="000747C8"/>
    <w:rsid w:val="00074E0C"/>
    <w:rsid w:val="00077697"/>
    <w:rsid w:val="0008006B"/>
    <w:rsid w:val="00083148"/>
    <w:rsid w:val="000832E5"/>
    <w:rsid w:val="00084820"/>
    <w:rsid w:val="00085B7D"/>
    <w:rsid w:val="00087E55"/>
    <w:rsid w:val="00092761"/>
    <w:rsid w:val="00093425"/>
    <w:rsid w:val="00093DE5"/>
    <w:rsid w:val="00095519"/>
    <w:rsid w:val="0009667A"/>
    <w:rsid w:val="00096FF9"/>
    <w:rsid w:val="000A03B7"/>
    <w:rsid w:val="000A576A"/>
    <w:rsid w:val="000A5F88"/>
    <w:rsid w:val="000A6222"/>
    <w:rsid w:val="000B0B83"/>
    <w:rsid w:val="000B0C5E"/>
    <w:rsid w:val="000B31FC"/>
    <w:rsid w:val="000B3435"/>
    <w:rsid w:val="000B3679"/>
    <w:rsid w:val="000B3C92"/>
    <w:rsid w:val="000B46C3"/>
    <w:rsid w:val="000B54A0"/>
    <w:rsid w:val="000B6081"/>
    <w:rsid w:val="000B6CA7"/>
    <w:rsid w:val="000B6CDC"/>
    <w:rsid w:val="000C1234"/>
    <w:rsid w:val="000C2A9D"/>
    <w:rsid w:val="000C7FBC"/>
    <w:rsid w:val="000D00E8"/>
    <w:rsid w:val="000D014A"/>
    <w:rsid w:val="000D4D0C"/>
    <w:rsid w:val="000D7B1B"/>
    <w:rsid w:val="000E119E"/>
    <w:rsid w:val="000E371B"/>
    <w:rsid w:val="000E5E6C"/>
    <w:rsid w:val="000E6532"/>
    <w:rsid w:val="000F0BEC"/>
    <w:rsid w:val="000F1A0D"/>
    <w:rsid w:val="000F1ED5"/>
    <w:rsid w:val="000F2503"/>
    <w:rsid w:val="000F41A2"/>
    <w:rsid w:val="000F48CF"/>
    <w:rsid w:val="000F712D"/>
    <w:rsid w:val="001008DB"/>
    <w:rsid w:val="00100938"/>
    <w:rsid w:val="0010136A"/>
    <w:rsid w:val="00106022"/>
    <w:rsid w:val="001076AD"/>
    <w:rsid w:val="00110E5E"/>
    <w:rsid w:val="001133B8"/>
    <w:rsid w:val="0011356A"/>
    <w:rsid w:val="001147A2"/>
    <w:rsid w:val="00115097"/>
    <w:rsid w:val="00115E7B"/>
    <w:rsid w:val="00117232"/>
    <w:rsid w:val="001172C9"/>
    <w:rsid w:val="00121294"/>
    <w:rsid w:val="00122AAE"/>
    <w:rsid w:val="0012485C"/>
    <w:rsid w:val="00125AB4"/>
    <w:rsid w:val="00125DAC"/>
    <w:rsid w:val="00125DDB"/>
    <w:rsid w:val="00135302"/>
    <w:rsid w:val="00136087"/>
    <w:rsid w:val="0013727A"/>
    <w:rsid w:val="00140245"/>
    <w:rsid w:val="00140AB1"/>
    <w:rsid w:val="00141B63"/>
    <w:rsid w:val="00143B4C"/>
    <w:rsid w:val="001442BD"/>
    <w:rsid w:val="001460FE"/>
    <w:rsid w:val="001472EE"/>
    <w:rsid w:val="00150DAF"/>
    <w:rsid w:val="001529FA"/>
    <w:rsid w:val="00152EBC"/>
    <w:rsid w:val="00156E92"/>
    <w:rsid w:val="0016051E"/>
    <w:rsid w:val="001605D5"/>
    <w:rsid w:val="00160EF1"/>
    <w:rsid w:val="00162C86"/>
    <w:rsid w:val="0016314D"/>
    <w:rsid w:val="0016349D"/>
    <w:rsid w:val="00165602"/>
    <w:rsid w:val="0016601D"/>
    <w:rsid w:val="00166FEB"/>
    <w:rsid w:val="0017332E"/>
    <w:rsid w:val="00174E20"/>
    <w:rsid w:val="00175F20"/>
    <w:rsid w:val="00176623"/>
    <w:rsid w:val="00176DFB"/>
    <w:rsid w:val="0018271E"/>
    <w:rsid w:val="00185878"/>
    <w:rsid w:val="00186D20"/>
    <w:rsid w:val="00187334"/>
    <w:rsid w:val="00187C40"/>
    <w:rsid w:val="00191FB3"/>
    <w:rsid w:val="001938FF"/>
    <w:rsid w:val="00194180"/>
    <w:rsid w:val="0019593C"/>
    <w:rsid w:val="001959CA"/>
    <w:rsid w:val="00197D03"/>
    <w:rsid w:val="001A0595"/>
    <w:rsid w:val="001A0E29"/>
    <w:rsid w:val="001A1EFE"/>
    <w:rsid w:val="001A31B2"/>
    <w:rsid w:val="001A3E49"/>
    <w:rsid w:val="001B0E63"/>
    <w:rsid w:val="001B252D"/>
    <w:rsid w:val="001B29CB"/>
    <w:rsid w:val="001B2EAE"/>
    <w:rsid w:val="001B4963"/>
    <w:rsid w:val="001B50AC"/>
    <w:rsid w:val="001B5CA7"/>
    <w:rsid w:val="001B6E40"/>
    <w:rsid w:val="001C0DAD"/>
    <w:rsid w:val="001C3CAD"/>
    <w:rsid w:val="001C690E"/>
    <w:rsid w:val="001D2DCA"/>
    <w:rsid w:val="001D3885"/>
    <w:rsid w:val="001D3D42"/>
    <w:rsid w:val="001D4E82"/>
    <w:rsid w:val="001D58FC"/>
    <w:rsid w:val="001D61BB"/>
    <w:rsid w:val="001E0440"/>
    <w:rsid w:val="001E14A1"/>
    <w:rsid w:val="001E2E2D"/>
    <w:rsid w:val="001E2FB2"/>
    <w:rsid w:val="001E3756"/>
    <w:rsid w:val="001E45D6"/>
    <w:rsid w:val="001E5CAA"/>
    <w:rsid w:val="001E6020"/>
    <w:rsid w:val="001E6114"/>
    <w:rsid w:val="001E742C"/>
    <w:rsid w:val="001F0282"/>
    <w:rsid w:val="001F0799"/>
    <w:rsid w:val="001F128A"/>
    <w:rsid w:val="001F2954"/>
    <w:rsid w:val="001F60BE"/>
    <w:rsid w:val="001F6327"/>
    <w:rsid w:val="001F6E17"/>
    <w:rsid w:val="00200FD9"/>
    <w:rsid w:val="00201D21"/>
    <w:rsid w:val="00202D76"/>
    <w:rsid w:val="00205FA2"/>
    <w:rsid w:val="002071B3"/>
    <w:rsid w:val="00210126"/>
    <w:rsid w:val="00212C7E"/>
    <w:rsid w:val="00213481"/>
    <w:rsid w:val="00213B74"/>
    <w:rsid w:val="00213B93"/>
    <w:rsid w:val="00213F5D"/>
    <w:rsid w:val="00214607"/>
    <w:rsid w:val="002152FF"/>
    <w:rsid w:val="00217541"/>
    <w:rsid w:val="002178AF"/>
    <w:rsid w:val="00217BCF"/>
    <w:rsid w:val="0022030E"/>
    <w:rsid w:val="00221131"/>
    <w:rsid w:val="00221FF5"/>
    <w:rsid w:val="00223F88"/>
    <w:rsid w:val="0022587E"/>
    <w:rsid w:val="00227276"/>
    <w:rsid w:val="00227876"/>
    <w:rsid w:val="00230A37"/>
    <w:rsid w:val="002312AF"/>
    <w:rsid w:val="00232F36"/>
    <w:rsid w:val="0023331A"/>
    <w:rsid w:val="002357DF"/>
    <w:rsid w:val="0023796C"/>
    <w:rsid w:val="002405EC"/>
    <w:rsid w:val="00240C3B"/>
    <w:rsid w:val="00240D33"/>
    <w:rsid w:val="00240EB0"/>
    <w:rsid w:val="00241658"/>
    <w:rsid w:val="00242BEC"/>
    <w:rsid w:val="0024437C"/>
    <w:rsid w:val="00244639"/>
    <w:rsid w:val="002466D6"/>
    <w:rsid w:val="00246DA7"/>
    <w:rsid w:val="00247A5D"/>
    <w:rsid w:val="00247BAF"/>
    <w:rsid w:val="002514C0"/>
    <w:rsid w:val="00251D7E"/>
    <w:rsid w:val="00252AB2"/>
    <w:rsid w:val="0025349D"/>
    <w:rsid w:val="00257A17"/>
    <w:rsid w:val="00261D66"/>
    <w:rsid w:val="00262F32"/>
    <w:rsid w:val="00263239"/>
    <w:rsid w:val="00263719"/>
    <w:rsid w:val="00265A28"/>
    <w:rsid w:val="002729AC"/>
    <w:rsid w:val="002731C9"/>
    <w:rsid w:val="00275F37"/>
    <w:rsid w:val="00276299"/>
    <w:rsid w:val="002779B5"/>
    <w:rsid w:val="00280616"/>
    <w:rsid w:val="002818C1"/>
    <w:rsid w:val="00284444"/>
    <w:rsid w:val="0028503D"/>
    <w:rsid w:val="002857C7"/>
    <w:rsid w:val="00286E16"/>
    <w:rsid w:val="00291227"/>
    <w:rsid w:val="002925A4"/>
    <w:rsid w:val="002929A4"/>
    <w:rsid w:val="00292DA8"/>
    <w:rsid w:val="0029360A"/>
    <w:rsid w:val="00294ED4"/>
    <w:rsid w:val="00296E7D"/>
    <w:rsid w:val="0029773B"/>
    <w:rsid w:val="002A0EE7"/>
    <w:rsid w:val="002A37CD"/>
    <w:rsid w:val="002B2B06"/>
    <w:rsid w:val="002B4317"/>
    <w:rsid w:val="002B632A"/>
    <w:rsid w:val="002B7538"/>
    <w:rsid w:val="002B78C7"/>
    <w:rsid w:val="002C07FB"/>
    <w:rsid w:val="002C3435"/>
    <w:rsid w:val="002C561F"/>
    <w:rsid w:val="002C5FEE"/>
    <w:rsid w:val="002C794E"/>
    <w:rsid w:val="002C7997"/>
    <w:rsid w:val="002D0D65"/>
    <w:rsid w:val="002D2575"/>
    <w:rsid w:val="002D2653"/>
    <w:rsid w:val="002D35B8"/>
    <w:rsid w:val="002D4AE4"/>
    <w:rsid w:val="002D57BC"/>
    <w:rsid w:val="002D758D"/>
    <w:rsid w:val="002D7FA8"/>
    <w:rsid w:val="002E0651"/>
    <w:rsid w:val="002E14EA"/>
    <w:rsid w:val="002E1B6C"/>
    <w:rsid w:val="002E1DF1"/>
    <w:rsid w:val="002E1FC6"/>
    <w:rsid w:val="002E3AA0"/>
    <w:rsid w:val="002E3CD5"/>
    <w:rsid w:val="002E59AE"/>
    <w:rsid w:val="002E66C1"/>
    <w:rsid w:val="002E7A9B"/>
    <w:rsid w:val="002E7DFA"/>
    <w:rsid w:val="002F0A60"/>
    <w:rsid w:val="002F0CFF"/>
    <w:rsid w:val="002F2D80"/>
    <w:rsid w:val="002F45A1"/>
    <w:rsid w:val="002F54D3"/>
    <w:rsid w:val="002F55D3"/>
    <w:rsid w:val="002F626B"/>
    <w:rsid w:val="002F69DB"/>
    <w:rsid w:val="00300E53"/>
    <w:rsid w:val="0030213F"/>
    <w:rsid w:val="003034B3"/>
    <w:rsid w:val="00303B8F"/>
    <w:rsid w:val="0030479C"/>
    <w:rsid w:val="00305D06"/>
    <w:rsid w:val="00306300"/>
    <w:rsid w:val="00306F28"/>
    <w:rsid w:val="00307BF4"/>
    <w:rsid w:val="003130A7"/>
    <w:rsid w:val="0031380B"/>
    <w:rsid w:val="003148E8"/>
    <w:rsid w:val="003152BB"/>
    <w:rsid w:val="0031734E"/>
    <w:rsid w:val="00320A86"/>
    <w:rsid w:val="003241D7"/>
    <w:rsid w:val="00324FC6"/>
    <w:rsid w:val="0032544B"/>
    <w:rsid w:val="0032695E"/>
    <w:rsid w:val="0032749B"/>
    <w:rsid w:val="00331F55"/>
    <w:rsid w:val="003327D6"/>
    <w:rsid w:val="00332BF0"/>
    <w:rsid w:val="0033409D"/>
    <w:rsid w:val="0033506C"/>
    <w:rsid w:val="003350EF"/>
    <w:rsid w:val="0033734E"/>
    <w:rsid w:val="0033736E"/>
    <w:rsid w:val="00340202"/>
    <w:rsid w:val="00340651"/>
    <w:rsid w:val="00343A90"/>
    <w:rsid w:val="003458FF"/>
    <w:rsid w:val="003504B3"/>
    <w:rsid w:val="0035134F"/>
    <w:rsid w:val="0035197C"/>
    <w:rsid w:val="00351F95"/>
    <w:rsid w:val="00352419"/>
    <w:rsid w:val="00354AD6"/>
    <w:rsid w:val="0035541C"/>
    <w:rsid w:val="00355BA2"/>
    <w:rsid w:val="00356F7F"/>
    <w:rsid w:val="00363130"/>
    <w:rsid w:val="00363E0C"/>
    <w:rsid w:val="00363ED4"/>
    <w:rsid w:val="0036435E"/>
    <w:rsid w:val="00364FC3"/>
    <w:rsid w:val="00365597"/>
    <w:rsid w:val="00367887"/>
    <w:rsid w:val="00367943"/>
    <w:rsid w:val="00374CE0"/>
    <w:rsid w:val="003753CB"/>
    <w:rsid w:val="00375A06"/>
    <w:rsid w:val="00376753"/>
    <w:rsid w:val="0037721B"/>
    <w:rsid w:val="00377DC6"/>
    <w:rsid w:val="003861A7"/>
    <w:rsid w:val="003861BA"/>
    <w:rsid w:val="00387722"/>
    <w:rsid w:val="003877D2"/>
    <w:rsid w:val="00390363"/>
    <w:rsid w:val="00392619"/>
    <w:rsid w:val="003940AE"/>
    <w:rsid w:val="00395B82"/>
    <w:rsid w:val="00396AFC"/>
    <w:rsid w:val="003A0F48"/>
    <w:rsid w:val="003A346B"/>
    <w:rsid w:val="003A40F4"/>
    <w:rsid w:val="003A48D6"/>
    <w:rsid w:val="003A5490"/>
    <w:rsid w:val="003A6959"/>
    <w:rsid w:val="003A69F7"/>
    <w:rsid w:val="003A73FA"/>
    <w:rsid w:val="003A7931"/>
    <w:rsid w:val="003B056D"/>
    <w:rsid w:val="003B1912"/>
    <w:rsid w:val="003B3C43"/>
    <w:rsid w:val="003B4FD7"/>
    <w:rsid w:val="003B6179"/>
    <w:rsid w:val="003B71E9"/>
    <w:rsid w:val="003C0639"/>
    <w:rsid w:val="003C2FA2"/>
    <w:rsid w:val="003C47F4"/>
    <w:rsid w:val="003C7883"/>
    <w:rsid w:val="003D4150"/>
    <w:rsid w:val="003D51CD"/>
    <w:rsid w:val="003E1EC8"/>
    <w:rsid w:val="003E314E"/>
    <w:rsid w:val="003E4475"/>
    <w:rsid w:val="003E4DB6"/>
    <w:rsid w:val="003E5C5E"/>
    <w:rsid w:val="003E68EB"/>
    <w:rsid w:val="003E7ED7"/>
    <w:rsid w:val="003F1B8D"/>
    <w:rsid w:val="003F3576"/>
    <w:rsid w:val="003F4F6E"/>
    <w:rsid w:val="003F73DC"/>
    <w:rsid w:val="004016BE"/>
    <w:rsid w:val="004039DD"/>
    <w:rsid w:val="004058F5"/>
    <w:rsid w:val="00405AD6"/>
    <w:rsid w:val="00405F6D"/>
    <w:rsid w:val="0040619E"/>
    <w:rsid w:val="00406DAF"/>
    <w:rsid w:val="00407BB8"/>
    <w:rsid w:val="00407D58"/>
    <w:rsid w:val="00410DCC"/>
    <w:rsid w:val="004120D6"/>
    <w:rsid w:val="0041335E"/>
    <w:rsid w:val="0041369C"/>
    <w:rsid w:val="00413B36"/>
    <w:rsid w:val="0041408C"/>
    <w:rsid w:val="00414AC1"/>
    <w:rsid w:val="0041534F"/>
    <w:rsid w:val="00416DDA"/>
    <w:rsid w:val="00417246"/>
    <w:rsid w:val="00417747"/>
    <w:rsid w:val="004201DD"/>
    <w:rsid w:val="004209B9"/>
    <w:rsid w:val="004215A7"/>
    <w:rsid w:val="00423A30"/>
    <w:rsid w:val="004244ED"/>
    <w:rsid w:val="00424B26"/>
    <w:rsid w:val="004310EE"/>
    <w:rsid w:val="00433926"/>
    <w:rsid w:val="00434013"/>
    <w:rsid w:val="00434ACB"/>
    <w:rsid w:val="00434D81"/>
    <w:rsid w:val="00437C93"/>
    <w:rsid w:val="00441319"/>
    <w:rsid w:val="00442304"/>
    <w:rsid w:val="00442E6A"/>
    <w:rsid w:val="00443B63"/>
    <w:rsid w:val="00443EB7"/>
    <w:rsid w:val="00444FF4"/>
    <w:rsid w:val="004471DC"/>
    <w:rsid w:val="00447D71"/>
    <w:rsid w:val="0045011F"/>
    <w:rsid w:val="00450231"/>
    <w:rsid w:val="00451ABF"/>
    <w:rsid w:val="00452089"/>
    <w:rsid w:val="004535C0"/>
    <w:rsid w:val="00453ED0"/>
    <w:rsid w:val="00460D81"/>
    <w:rsid w:val="0046165B"/>
    <w:rsid w:val="00461F1A"/>
    <w:rsid w:val="00464DED"/>
    <w:rsid w:val="00470BA6"/>
    <w:rsid w:val="004734D0"/>
    <w:rsid w:val="00473A0B"/>
    <w:rsid w:val="00475A23"/>
    <w:rsid w:val="00476184"/>
    <w:rsid w:val="004764DB"/>
    <w:rsid w:val="00476567"/>
    <w:rsid w:val="00476B8F"/>
    <w:rsid w:val="00476E40"/>
    <w:rsid w:val="004776C7"/>
    <w:rsid w:val="00481F76"/>
    <w:rsid w:val="0048306B"/>
    <w:rsid w:val="0048309C"/>
    <w:rsid w:val="00483461"/>
    <w:rsid w:val="00483F03"/>
    <w:rsid w:val="00484D61"/>
    <w:rsid w:val="00486444"/>
    <w:rsid w:val="00490568"/>
    <w:rsid w:val="00490C39"/>
    <w:rsid w:val="00491651"/>
    <w:rsid w:val="004924C0"/>
    <w:rsid w:val="00492CF7"/>
    <w:rsid w:val="00493026"/>
    <w:rsid w:val="00494E24"/>
    <w:rsid w:val="00494EAF"/>
    <w:rsid w:val="0049709E"/>
    <w:rsid w:val="00497837"/>
    <w:rsid w:val="00497A9B"/>
    <w:rsid w:val="00497B17"/>
    <w:rsid w:val="00497B87"/>
    <w:rsid w:val="004A2968"/>
    <w:rsid w:val="004A4B25"/>
    <w:rsid w:val="004A4EB6"/>
    <w:rsid w:val="004A502A"/>
    <w:rsid w:val="004A695F"/>
    <w:rsid w:val="004B39ED"/>
    <w:rsid w:val="004B4697"/>
    <w:rsid w:val="004B6F3E"/>
    <w:rsid w:val="004C08AF"/>
    <w:rsid w:val="004C102F"/>
    <w:rsid w:val="004C13B7"/>
    <w:rsid w:val="004C47B4"/>
    <w:rsid w:val="004C5190"/>
    <w:rsid w:val="004C5F03"/>
    <w:rsid w:val="004C676B"/>
    <w:rsid w:val="004C6D7D"/>
    <w:rsid w:val="004D2081"/>
    <w:rsid w:val="004D3A7A"/>
    <w:rsid w:val="004D4BAF"/>
    <w:rsid w:val="004D4CE2"/>
    <w:rsid w:val="004D5609"/>
    <w:rsid w:val="004D588C"/>
    <w:rsid w:val="004D5B87"/>
    <w:rsid w:val="004D75A4"/>
    <w:rsid w:val="004E23F1"/>
    <w:rsid w:val="004E2867"/>
    <w:rsid w:val="004E2FFF"/>
    <w:rsid w:val="004E6CCA"/>
    <w:rsid w:val="004F08C5"/>
    <w:rsid w:val="004F0E1E"/>
    <w:rsid w:val="004F0FAC"/>
    <w:rsid w:val="004F1900"/>
    <w:rsid w:val="004F1CC4"/>
    <w:rsid w:val="004F3EB2"/>
    <w:rsid w:val="004F4878"/>
    <w:rsid w:val="004F4924"/>
    <w:rsid w:val="004F56B3"/>
    <w:rsid w:val="004F632C"/>
    <w:rsid w:val="004F6ECF"/>
    <w:rsid w:val="004F709D"/>
    <w:rsid w:val="004F73BD"/>
    <w:rsid w:val="005011A6"/>
    <w:rsid w:val="00501F0B"/>
    <w:rsid w:val="005029F1"/>
    <w:rsid w:val="00505179"/>
    <w:rsid w:val="00507D9D"/>
    <w:rsid w:val="00507EA8"/>
    <w:rsid w:val="00510649"/>
    <w:rsid w:val="00511A21"/>
    <w:rsid w:val="00514123"/>
    <w:rsid w:val="0051425E"/>
    <w:rsid w:val="00514496"/>
    <w:rsid w:val="00515111"/>
    <w:rsid w:val="00515820"/>
    <w:rsid w:val="005173B3"/>
    <w:rsid w:val="00521718"/>
    <w:rsid w:val="00522107"/>
    <w:rsid w:val="0052230F"/>
    <w:rsid w:val="005242D7"/>
    <w:rsid w:val="00524A6D"/>
    <w:rsid w:val="00525CD7"/>
    <w:rsid w:val="005260D2"/>
    <w:rsid w:val="005275F7"/>
    <w:rsid w:val="005306CC"/>
    <w:rsid w:val="0053084F"/>
    <w:rsid w:val="0053280F"/>
    <w:rsid w:val="00533341"/>
    <w:rsid w:val="00533C6C"/>
    <w:rsid w:val="00533FE0"/>
    <w:rsid w:val="005352CE"/>
    <w:rsid w:val="005379FA"/>
    <w:rsid w:val="005407CE"/>
    <w:rsid w:val="00541687"/>
    <w:rsid w:val="00545281"/>
    <w:rsid w:val="005462B2"/>
    <w:rsid w:val="00546861"/>
    <w:rsid w:val="005473BB"/>
    <w:rsid w:val="0054740E"/>
    <w:rsid w:val="00550FC3"/>
    <w:rsid w:val="005514C9"/>
    <w:rsid w:val="0055188C"/>
    <w:rsid w:val="00551A6E"/>
    <w:rsid w:val="00552F26"/>
    <w:rsid w:val="00552F40"/>
    <w:rsid w:val="00554FBD"/>
    <w:rsid w:val="005564D4"/>
    <w:rsid w:val="00560210"/>
    <w:rsid w:val="0056156E"/>
    <w:rsid w:val="00561D7D"/>
    <w:rsid w:val="005622FA"/>
    <w:rsid w:val="005630B9"/>
    <w:rsid w:val="005670DF"/>
    <w:rsid w:val="005674F6"/>
    <w:rsid w:val="00572A44"/>
    <w:rsid w:val="005765D5"/>
    <w:rsid w:val="00576A5C"/>
    <w:rsid w:val="00580037"/>
    <w:rsid w:val="005808E5"/>
    <w:rsid w:val="00580D0F"/>
    <w:rsid w:val="005851B3"/>
    <w:rsid w:val="00587445"/>
    <w:rsid w:val="00587E50"/>
    <w:rsid w:val="00587EA8"/>
    <w:rsid w:val="00593A3E"/>
    <w:rsid w:val="00593DD7"/>
    <w:rsid w:val="005943A2"/>
    <w:rsid w:val="00594C7A"/>
    <w:rsid w:val="00596D73"/>
    <w:rsid w:val="00596EB2"/>
    <w:rsid w:val="005971CB"/>
    <w:rsid w:val="00597487"/>
    <w:rsid w:val="005A1C49"/>
    <w:rsid w:val="005A414E"/>
    <w:rsid w:val="005A622E"/>
    <w:rsid w:val="005A632B"/>
    <w:rsid w:val="005A6B7A"/>
    <w:rsid w:val="005B11C3"/>
    <w:rsid w:val="005B2DBC"/>
    <w:rsid w:val="005B3A24"/>
    <w:rsid w:val="005B3BCA"/>
    <w:rsid w:val="005B490B"/>
    <w:rsid w:val="005B5ED9"/>
    <w:rsid w:val="005C03A2"/>
    <w:rsid w:val="005C0B60"/>
    <w:rsid w:val="005C0D93"/>
    <w:rsid w:val="005C33B0"/>
    <w:rsid w:val="005C347B"/>
    <w:rsid w:val="005C36EB"/>
    <w:rsid w:val="005C37BD"/>
    <w:rsid w:val="005C4FDF"/>
    <w:rsid w:val="005C7D79"/>
    <w:rsid w:val="005D097E"/>
    <w:rsid w:val="005D0F5C"/>
    <w:rsid w:val="005D1E45"/>
    <w:rsid w:val="005D2646"/>
    <w:rsid w:val="005D2F27"/>
    <w:rsid w:val="005D329E"/>
    <w:rsid w:val="005D38CB"/>
    <w:rsid w:val="005D5698"/>
    <w:rsid w:val="005D74CF"/>
    <w:rsid w:val="005E10ED"/>
    <w:rsid w:val="005E6729"/>
    <w:rsid w:val="005F0BBB"/>
    <w:rsid w:val="005F3243"/>
    <w:rsid w:val="005F4561"/>
    <w:rsid w:val="005F51F3"/>
    <w:rsid w:val="005F6680"/>
    <w:rsid w:val="005F692A"/>
    <w:rsid w:val="0060063C"/>
    <w:rsid w:val="006007F5"/>
    <w:rsid w:val="0060246D"/>
    <w:rsid w:val="0060312E"/>
    <w:rsid w:val="00603798"/>
    <w:rsid w:val="00604108"/>
    <w:rsid w:val="00604AFB"/>
    <w:rsid w:val="006061D9"/>
    <w:rsid w:val="00606483"/>
    <w:rsid w:val="006068D6"/>
    <w:rsid w:val="00607808"/>
    <w:rsid w:val="0061036B"/>
    <w:rsid w:val="0061090C"/>
    <w:rsid w:val="00611372"/>
    <w:rsid w:val="006125E7"/>
    <w:rsid w:val="006132CF"/>
    <w:rsid w:val="00613F61"/>
    <w:rsid w:val="006164F0"/>
    <w:rsid w:val="00616DB6"/>
    <w:rsid w:val="00617E7E"/>
    <w:rsid w:val="00620745"/>
    <w:rsid w:val="0062161F"/>
    <w:rsid w:val="00622D67"/>
    <w:rsid w:val="00624D7C"/>
    <w:rsid w:val="006250CB"/>
    <w:rsid w:val="00625C76"/>
    <w:rsid w:val="00630134"/>
    <w:rsid w:val="00630189"/>
    <w:rsid w:val="00630784"/>
    <w:rsid w:val="006314F7"/>
    <w:rsid w:val="00633BE3"/>
    <w:rsid w:val="0063408E"/>
    <w:rsid w:val="006367D0"/>
    <w:rsid w:val="00636834"/>
    <w:rsid w:val="00637549"/>
    <w:rsid w:val="006375EB"/>
    <w:rsid w:val="0064005F"/>
    <w:rsid w:val="006405C6"/>
    <w:rsid w:val="00640D81"/>
    <w:rsid w:val="00642586"/>
    <w:rsid w:val="00642EC5"/>
    <w:rsid w:val="006441A3"/>
    <w:rsid w:val="00645493"/>
    <w:rsid w:val="00645A50"/>
    <w:rsid w:val="00646E37"/>
    <w:rsid w:val="00646F0D"/>
    <w:rsid w:val="006471BA"/>
    <w:rsid w:val="00647AF7"/>
    <w:rsid w:val="0065240F"/>
    <w:rsid w:val="00660570"/>
    <w:rsid w:val="00661A06"/>
    <w:rsid w:val="00662579"/>
    <w:rsid w:val="00663AD2"/>
    <w:rsid w:val="00663D9F"/>
    <w:rsid w:val="00664692"/>
    <w:rsid w:val="00665D20"/>
    <w:rsid w:val="00671F33"/>
    <w:rsid w:val="00674FC2"/>
    <w:rsid w:val="006753B0"/>
    <w:rsid w:val="006767CA"/>
    <w:rsid w:val="00677C28"/>
    <w:rsid w:val="00680480"/>
    <w:rsid w:val="00682AB0"/>
    <w:rsid w:val="006834FF"/>
    <w:rsid w:val="006839D3"/>
    <w:rsid w:val="006847E1"/>
    <w:rsid w:val="0068580D"/>
    <w:rsid w:val="0068599E"/>
    <w:rsid w:val="00687370"/>
    <w:rsid w:val="00687DC0"/>
    <w:rsid w:val="00690FC5"/>
    <w:rsid w:val="00691633"/>
    <w:rsid w:val="0069245A"/>
    <w:rsid w:val="006932A9"/>
    <w:rsid w:val="006946CD"/>
    <w:rsid w:val="00695234"/>
    <w:rsid w:val="00695E38"/>
    <w:rsid w:val="006A0A09"/>
    <w:rsid w:val="006A0B9B"/>
    <w:rsid w:val="006A2612"/>
    <w:rsid w:val="006A2650"/>
    <w:rsid w:val="006A2A63"/>
    <w:rsid w:val="006A3A0C"/>
    <w:rsid w:val="006A3DC5"/>
    <w:rsid w:val="006A60DD"/>
    <w:rsid w:val="006A65A5"/>
    <w:rsid w:val="006A73DA"/>
    <w:rsid w:val="006A74AF"/>
    <w:rsid w:val="006B1EA5"/>
    <w:rsid w:val="006B225D"/>
    <w:rsid w:val="006B61A4"/>
    <w:rsid w:val="006B6870"/>
    <w:rsid w:val="006B75E8"/>
    <w:rsid w:val="006B78C6"/>
    <w:rsid w:val="006C0A3B"/>
    <w:rsid w:val="006C2ECB"/>
    <w:rsid w:val="006C38C8"/>
    <w:rsid w:val="006C566C"/>
    <w:rsid w:val="006C5955"/>
    <w:rsid w:val="006C68B7"/>
    <w:rsid w:val="006C7228"/>
    <w:rsid w:val="006D0522"/>
    <w:rsid w:val="006D2188"/>
    <w:rsid w:val="006D2CDA"/>
    <w:rsid w:val="006D3923"/>
    <w:rsid w:val="006D423F"/>
    <w:rsid w:val="006D5B78"/>
    <w:rsid w:val="006D5B95"/>
    <w:rsid w:val="006D5D65"/>
    <w:rsid w:val="006E1881"/>
    <w:rsid w:val="006E2353"/>
    <w:rsid w:val="006E307C"/>
    <w:rsid w:val="006E437B"/>
    <w:rsid w:val="006E4B0C"/>
    <w:rsid w:val="006E4EF6"/>
    <w:rsid w:val="006E535A"/>
    <w:rsid w:val="006E6B8D"/>
    <w:rsid w:val="006F1C67"/>
    <w:rsid w:val="006F3BC2"/>
    <w:rsid w:val="006F3F7B"/>
    <w:rsid w:val="006F46E3"/>
    <w:rsid w:val="006F560B"/>
    <w:rsid w:val="006F5D8D"/>
    <w:rsid w:val="006F65F0"/>
    <w:rsid w:val="006F665B"/>
    <w:rsid w:val="006F72D6"/>
    <w:rsid w:val="00701E79"/>
    <w:rsid w:val="00706062"/>
    <w:rsid w:val="0071122A"/>
    <w:rsid w:val="00711D2C"/>
    <w:rsid w:val="0071213C"/>
    <w:rsid w:val="007164E9"/>
    <w:rsid w:val="0071764E"/>
    <w:rsid w:val="007178D1"/>
    <w:rsid w:val="0072209F"/>
    <w:rsid w:val="00722A15"/>
    <w:rsid w:val="00725F80"/>
    <w:rsid w:val="007263D4"/>
    <w:rsid w:val="00726D21"/>
    <w:rsid w:val="007277DA"/>
    <w:rsid w:val="007330E3"/>
    <w:rsid w:val="00734FB8"/>
    <w:rsid w:val="00741B2E"/>
    <w:rsid w:val="00743AD4"/>
    <w:rsid w:val="0074430E"/>
    <w:rsid w:val="00744A0C"/>
    <w:rsid w:val="00744A2B"/>
    <w:rsid w:val="007458BF"/>
    <w:rsid w:val="007466B5"/>
    <w:rsid w:val="0074676E"/>
    <w:rsid w:val="0074686D"/>
    <w:rsid w:val="00750DA2"/>
    <w:rsid w:val="00752ABD"/>
    <w:rsid w:val="0075371C"/>
    <w:rsid w:val="00753B3A"/>
    <w:rsid w:val="007554CD"/>
    <w:rsid w:val="0075577D"/>
    <w:rsid w:val="00756705"/>
    <w:rsid w:val="007605D1"/>
    <w:rsid w:val="00762883"/>
    <w:rsid w:val="0076507E"/>
    <w:rsid w:val="0076779F"/>
    <w:rsid w:val="00772777"/>
    <w:rsid w:val="00773350"/>
    <w:rsid w:val="00774913"/>
    <w:rsid w:val="00776805"/>
    <w:rsid w:val="00782E3A"/>
    <w:rsid w:val="00783FD8"/>
    <w:rsid w:val="0078473D"/>
    <w:rsid w:val="00784852"/>
    <w:rsid w:val="00784D90"/>
    <w:rsid w:val="00785DD8"/>
    <w:rsid w:val="00786227"/>
    <w:rsid w:val="00791CF0"/>
    <w:rsid w:val="00793BB0"/>
    <w:rsid w:val="00793C46"/>
    <w:rsid w:val="007A061C"/>
    <w:rsid w:val="007A493C"/>
    <w:rsid w:val="007A5135"/>
    <w:rsid w:val="007A5187"/>
    <w:rsid w:val="007A5D70"/>
    <w:rsid w:val="007B0D8F"/>
    <w:rsid w:val="007B29B7"/>
    <w:rsid w:val="007B3A8E"/>
    <w:rsid w:val="007B6F90"/>
    <w:rsid w:val="007B729F"/>
    <w:rsid w:val="007C1560"/>
    <w:rsid w:val="007C292E"/>
    <w:rsid w:val="007C37A1"/>
    <w:rsid w:val="007C5D36"/>
    <w:rsid w:val="007C667F"/>
    <w:rsid w:val="007C7EB8"/>
    <w:rsid w:val="007D0344"/>
    <w:rsid w:val="007D1601"/>
    <w:rsid w:val="007D2BC6"/>
    <w:rsid w:val="007D3A0B"/>
    <w:rsid w:val="007D66B8"/>
    <w:rsid w:val="007E1A4C"/>
    <w:rsid w:val="007E33B1"/>
    <w:rsid w:val="007E3520"/>
    <w:rsid w:val="007E5A9F"/>
    <w:rsid w:val="007E5FA2"/>
    <w:rsid w:val="007E741B"/>
    <w:rsid w:val="007E7B18"/>
    <w:rsid w:val="007F0AD7"/>
    <w:rsid w:val="007F11FF"/>
    <w:rsid w:val="007F13F1"/>
    <w:rsid w:val="007F1644"/>
    <w:rsid w:val="007F2640"/>
    <w:rsid w:val="007F2A52"/>
    <w:rsid w:val="007F3053"/>
    <w:rsid w:val="007F3B22"/>
    <w:rsid w:val="007F4A5D"/>
    <w:rsid w:val="007F4AE3"/>
    <w:rsid w:val="007F768C"/>
    <w:rsid w:val="0080069A"/>
    <w:rsid w:val="00800734"/>
    <w:rsid w:val="008018A9"/>
    <w:rsid w:val="008024DD"/>
    <w:rsid w:val="00805032"/>
    <w:rsid w:val="00805670"/>
    <w:rsid w:val="00807AA9"/>
    <w:rsid w:val="00807E33"/>
    <w:rsid w:val="00810FA2"/>
    <w:rsid w:val="00813820"/>
    <w:rsid w:val="0081662B"/>
    <w:rsid w:val="008178D9"/>
    <w:rsid w:val="00820405"/>
    <w:rsid w:val="00822EEA"/>
    <w:rsid w:val="008248DA"/>
    <w:rsid w:val="00824FEF"/>
    <w:rsid w:val="00831468"/>
    <w:rsid w:val="00837A58"/>
    <w:rsid w:val="008418CE"/>
    <w:rsid w:val="008423DD"/>
    <w:rsid w:val="008437D5"/>
    <w:rsid w:val="00843B00"/>
    <w:rsid w:val="00843C38"/>
    <w:rsid w:val="0084458C"/>
    <w:rsid w:val="008453B9"/>
    <w:rsid w:val="0084540C"/>
    <w:rsid w:val="00845563"/>
    <w:rsid w:val="00846816"/>
    <w:rsid w:val="00846A41"/>
    <w:rsid w:val="00847F4A"/>
    <w:rsid w:val="0085044A"/>
    <w:rsid w:val="00851403"/>
    <w:rsid w:val="00852EA5"/>
    <w:rsid w:val="008535C5"/>
    <w:rsid w:val="00853F37"/>
    <w:rsid w:val="00855B8B"/>
    <w:rsid w:val="008564E5"/>
    <w:rsid w:val="008612BA"/>
    <w:rsid w:val="00862556"/>
    <w:rsid w:val="008632E8"/>
    <w:rsid w:val="0086358E"/>
    <w:rsid w:val="0086464C"/>
    <w:rsid w:val="00864CCA"/>
    <w:rsid w:val="00866162"/>
    <w:rsid w:val="00866718"/>
    <w:rsid w:val="00867781"/>
    <w:rsid w:val="0087006A"/>
    <w:rsid w:val="008702D2"/>
    <w:rsid w:val="00870303"/>
    <w:rsid w:val="0087348A"/>
    <w:rsid w:val="00873F1F"/>
    <w:rsid w:val="00874E4A"/>
    <w:rsid w:val="00875446"/>
    <w:rsid w:val="00876C72"/>
    <w:rsid w:val="00876E87"/>
    <w:rsid w:val="00877EFE"/>
    <w:rsid w:val="00880846"/>
    <w:rsid w:val="008815C3"/>
    <w:rsid w:val="00882EF0"/>
    <w:rsid w:val="00885303"/>
    <w:rsid w:val="00885480"/>
    <w:rsid w:val="00887524"/>
    <w:rsid w:val="00890F9E"/>
    <w:rsid w:val="00891382"/>
    <w:rsid w:val="00891569"/>
    <w:rsid w:val="00891AF7"/>
    <w:rsid w:val="008956D3"/>
    <w:rsid w:val="008961FE"/>
    <w:rsid w:val="008A04A8"/>
    <w:rsid w:val="008A0E8D"/>
    <w:rsid w:val="008A1AAB"/>
    <w:rsid w:val="008A2D8A"/>
    <w:rsid w:val="008A3972"/>
    <w:rsid w:val="008A6A88"/>
    <w:rsid w:val="008B03C1"/>
    <w:rsid w:val="008B0544"/>
    <w:rsid w:val="008B24E9"/>
    <w:rsid w:val="008B4A14"/>
    <w:rsid w:val="008B5DD0"/>
    <w:rsid w:val="008B7BFA"/>
    <w:rsid w:val="008C376D"/>
    <w:rsid w:val="008C3DB7"/>
    <w:rsid w:val="008C3DEF"/>
    <w:rsid w:val="008C74C2"/>
    <w:rsid w:val="008C75A5"/>
    <w:rsid w:val="008D07CF"/>
    <w:rsid w:val="008D176A"/>
    <w:rsid w:val="008D2EEF"/>
    <w:rsid w:val="008D3DFD"/>
    <w:rsid w:val="008D6314"/>
    <w:rsid w:val="008D665D"/>
    <w:rsid w:val="008E002B"/>
    <w:rsid w:val="008E09C7"/>
    <w:rsid w:val="008E25F4"/>
    <w:rsid w:val="008E2A41"/>
    <w:rsid w:val="008E3AAF"/>
    <w:rsid w:val="008E71AA"/>
    <w:rsid w:val="008E74C8"/>
    <w:rsid w:val="008F0936"/>
    <w:rsid w:val="008F3999"/>
    <w:rsid w:val="008F3BBB"/>
    <w:rsid w:val="008F3C65"/>
    <w:rsid w:val="00901EE6"/>
    <w:rsid w:val="00902F24"/>
    <w:rsid w:val="00903FA8"/>
    <w:rsid w:val="009060CC"/>
    <w:rsid w:val="00907F98"/>
    <w:rsid w:val="00910073"/>
    <w:rsid w:val="009121FC"/>
    <w:rsid w:val="009133DC"/>
    <w:rsid w:val="00913BB7"/>
    <w:rsid w:val="0091621B"/>
    <w:rsid w:val="009175FF"/>
    <w:rsid w:val="009177E0"/>
    <w:rsid w:val="00917929"/>
    <w:rsid w:val="009206EF"/>
    <w:rsid w:val="00920BEA"/>
    <w:rsid w:val="00921263"/>
    <w:rsid w:val="0092445F"/>
    <w:rsid w:val="00924713"/>
    <w:rsid w:val="009259D2"/>
    <w:rsid w:val="009264C6"/>
    <w:rsid w:val="00926941"/>
    <w:rsid w:val="00927859"/>
    <w:rsid w:val="009340D1"/>
    <w:rsid w:val="0093480C"/>
    <w:rsid w:val="00934FF9"/>
    <w:rsid w:val="0093513F"/>
    <w:rsid w:val="00935B88"/>
    <w:rsid w:val="009369C7"/>
    <w:rsid w:val="00941A81"/>
    <w:rsid w:val="0094325F"/>
    <w:rsid w:val="00943AE3"/>
    <w:rsid w:val="0094610E"/>
    <w:rsid w:val="00946483"/>
    <w:rsid w:val="00947812"/>
    <w:rsid w:val="00947BA1"/>
    <w:rsid w:val="00951D50"/>
    <w:rsid w:val="00952706"/>
    <w:rsid w:val="00952CDF"/>
    <w:rsid w:val="00952F9A"/>
    <w:rsid w:val="009531F2"/>
    <w:rsid w:val="00954293"/>
    <w:rsid w:val="009548C2"/>
    <w:rsid w:val="009551F1"/>
    <w:rsid w:val="00955E29"/>
    <w:rsid w:val="00956F39"/>
    <w:rsid w:val="00957979"/>
    <w:rsid w:val="00961B9E"/>
    <w:rsid w:val="00966051"/>
    <w:rsid w:val="0097164D"/>
    <w:rsid w:val="00971989"/>
    <w:rsid w:val="00972AE3"/>
    <w:rsid w:val="0097644A"/>
    <w:rsid w:val="00982873"/>
    <w:rsid w:val="009850DE"/>
    <w:rsid w:val="009857CC"/>
    <w:rsid w:val="009939C4"/>
    <w:rsid w:val="00993DAE"/>
    <w:rsid w:val="00995BD4"/>
    <w:rsid w:val="00997618"/>
    <w:rsid w:val="00997B6E"/>
    <w:rsid w:val="00997C52"/>
    <w:rsid w:val="00997C85"/>
    <w:rsid w:val="009A40AB"/>
    <w:rsid w:val="009A6730"/>
    <w:rsid w:val="009B113A"/>
    <w:rsid w:val="009B2493"/>
    <w:rsid w:val="009B3173"/>
    <w:rsid w:val="009B3891"/>
    <w:rsid w:val="009B3C2F"/>
    <w:rsid w:val="009B43F6"/>
    <w:rsid w:val="009B49F4"/>
    <w:rsid w:val="009B510E"/>
    <w:rsid w:val="009C05B6"/>
    <w:rsid w:val="009C2585"/>
    <w:rsid w:val="009C395F"/>
    <w:rsid w:val="009C408F"/>
    <w:rsid w:val="009C4E55"/>
    <w:rsid w:val="009D239F"/>
    <w:rsid w:val="009D24D0"/>
    <w:rsid w:val="009D3149"/>
    <w:rsid w:val="009D4A6B"/>
    <w:rsid w:val="009D4FE8"/>
    <w:rsid w:val="009D5FC3"/>
    <w:rsid w:val="009E0352"/>
    <w:rsid w:val="009E1984"/>
    <w:rsid w:val="009E279B"/>
    <w:rsid w:val="009E4660"/>
    <w:rsid w:val="009E492E"/>
    <w:rsid w:val="009E708E"/>
    <w:rsid w:val="009F09CC"/>
    <w:rsid w:val="009F0F10"/>
    <w:rsid w:val="009F10B4"/>
    <w:rsid w:val="009F12F3"/>
    <w:rsid w:val="009F3C81"/>
    <w:rsid w:val="009F7651"/>
    <w:rsid w:val="00A0295B"/>
    <w:rsid w:val="00A0554E"/>
    <w:rsid w:val="00A058E4"/>
    <w:rsid w:val="00A114A3"/>
    <w:rsid w:val="00A11581"/>
    <w:rsid w:val="00A12280"/>
    <w:rsid w:val="00A13060"/>
    <w:rsid w:val="00A137AC"/>
    <w:rsid w:val="00A146A3"/>
    <w:rsid w:val="00A14878"/>
    <w:rsid w:val="00A14FD6"/>
    <w:rsid w:val="00A16A28"/>
    <w:rsid w:val="00A171C9"/>
    <w:rsid w:val="00A20E64"/>
    <w:rsid w:val="00A21B23"/>
    <w:rsid w:val="00A25922"/>
    <w:rsid w:val="00A26178"/>
    <w:rsid w:val="00A27B6C"/>
    <w:rsid w:val="00A3334D"/>
    <w:rsid w:val="00A3528A"/>
    <w:rsid w:val="00A36A59"/>
    <w:rsid w:val="00A402A7"/>
    <w:rsid w:val="00A4109B"/>
    <w:rsid w:val="00A42FBB"/>
    <w:rsid w:val="00A4369E"/>
    <w:rsid w:val="00A45A18"/>
    <w:rsid w:val="00A45CFA"/>
    <w:rsid w:val="00A46E89"/>
    <w:rsid w:val="00A47A7E"/>
    <w:rsid w:val="00A50B7C"/>
    <w:rsid w:val="00A52354"/>
    <w:rsid w:val="00A527DD"/>
    <w:rsid w:val="00A52BE0"/>
    <w:rsid w:val="00A54343"/>
    <w:rsid w:val="00A5549F"/>
    <w:rsid w:val="00A60437"/>
    <w:rsid w:val="00A614F9"/>
    <w:rsid w:val="00A6460E"/>
    <w:rsid w:val="00A665F2"/>
    <w:rsid w:val="00A67616"/>
    <w:rsid w:val="00A70E1C"/>
    <w:rsid w:val="00A727AD"/>
    <w:rsid w:val="00A74A41"/>
    <w:rsid w:val="00A75EB1"/>
    <w:rsid w:val="00A765EE"/>
    <w:rsid w:val="00A76AA9"/>
    <w:rsid w:val="00A823A1"/>
    <w:rsid w:val="00A82C64"/>
    <w:rsid w:val="00A8466F"/>
    <w:rsid w:val="00A849C5"/>
    <w:rsid w:val="00A84D7E"/>
    <w:rsid w:val="00A90335"/>
    <w:rsid w:val="00A904E8"/>
    <w:rsid w:val="00A908C4"/>
    <w:rsid w:val="00A909BD"/>
    <w:rsid w:val="00A9117A"/>
    <w:rsid w:val="00A91337"/>
    <w:rsid w:val="00A91981"/>
    <w:rsid w:val="00A91E5C"/>
    <w:rsid w:val="00A91F0D"/>
    <w:rsid w:val="00A92417"/>
    <w:rsid w:val="00A92900"/>
    <w:rsid w:val="00A92DF8"/>
    <w:rsid w:val="00A938EC"/>
    <w:rsid w:val="00A942D0"/>
    <w:rsid w:val="00A94CEE"/>
    <w:rsid w:val="00A95189"/>
    <w:rsid w:val="00A959A4"/>
    <w:rsid w:val="00A95A52"/>
    <w:rsid w:val="00A97E2C"/>
    <w:rsid w:val="00AA043E"/>
    <w:rsid w:val="00AA04DA"/>
    <w:rsid w:val="00AA51A4"/>
    <w:rsid w:val="00AA6392"/>
    <w:rsid w:val="00AA774F"/>
    <w:rsid w:val="00AB0F56"/>
    <w:rsid w:val="00AB2527"/>
    <w:rsid w:val="00AB6258"/>
    <w:rsid w:val="00AB6AB8"/>
    <w:rsid w:val="00AB73E9"/>
    <w:rsid w:val="00AC32E0"/>
    <w:rsid w:val="00AC379A"/>
    <w:rsid w:val="00AC37CE"/>
    <w:rsid w:val="00AC4024"/>
    <w:rsid w:val="00AC43FE"/>
    <w:rsid w:val="00AC7556"/>
    <w:rsid w:val="00AD018C"/>
    <w:rsid w:val="00AD0A90"/>
    <w:rsid w:val="00AD0F6C"/>
    <w:rsid w:val="00AD1C8C"/>
    <w:rsid w:val="00AD269B"/>
    <w:rsid w:val="00AD2C38"/>
    <w:rsid w:val="00AD3192"/>
    <w:rsid w:val="00AE0429"/>
    <w:rsid w:val="00AE0B57"/>
    <w:rsid w:val="00AE10C3"/>
    <w:rsid w:val="00AE1C95"/>
    <w:rsid w:val="00AE43D2"/>
    <w:rsid w:val="00AE4B95"/>
    <w:rsid w:val="00AE4EBB"/>
    <w:rsid w:val="00AE5D99"/>
    <w:rsid w:val="00AE6D45"/>
    <w:rsid w:val="00AE6EE3"/>
    <w:rsid w:val="00AE78C0"/>
    <w:rsid w:val="00AF13B0"/>
    <w:rsid w:val="00AF16C0"/>
    <w:rsid w:val="00AF2E18"/>
    <w:rsid w:val="00AF499F"/>
    <w:rsid w:val="00AF5EBD"/>
    <w:rsid w:val="00AF5FC1"/>
    <w:rsid w:val="00AF7847"/>
    <w:rsid w:val="00B019BD"/>
    <w:rsid w:val="00B01DAB"/>
    <w:rsid w:val="00B02B11"/>
    <w:rsid w:val="00B04932"/>
    <w:rsid w:val="00B0622D"/>
    <w:rsid w:val="00B0638B"/>
    <w:rsid w:val="00B071EB"/>
    <w:rsid w:val="00B11FEC"/>
    <w:rsid w:val="00B13B4D"/>
    <w:rsid w:val="00B14695"/>
    <w:rsid w:val="00B14D9E"/>
    <w:rsid w:val="00B14E08"/>
    <w:rsid w:val="00B15B28"/>
    <w:rsid w:val="00B17501"/>
    <w:rsid w:val="00B17F54"/>
    <w:rsid w:val="00B21E24"/>
    <w:rsid w:val="00B22E29"/>
    <w:rsid w:val="00B23884"/>
    <w:rsid w:val="00B25E2D"/>
    <w:rsid w:val="00B3053A"/>
    <w:rsid w:val="00B313F4"/>
    <w:rsid w:val="00B31425"/>
    <w:rsid w:val="00B41A2B"/>
    <w:rsid w:val="00B41EAF"/>
    <w:rsid w:val="00B429D6"/>
    <w:rsid w:val="00B433CF"/>
    <w:rsid w:val="00B44167"/>
    <w:rsid w:val="00B442C7"/>
    <w:rsid w:val="00B50FA3"/>
    <w:rsid w:val="00B511DD"/>
    <w:rsid w:val="00B535E1"/>
    <w:rsid w:val="00B552F7"/>
    <w:rsid w:val="00B559D4"/>
    <w:rsid w:val="00B60313"/>
    <w:rsid w:val="00B604A3"/>
    <w:rsid w:val="00B61C9D"/>
    <w:rsid w:val="00B641A9"/>
    <w:rsid w:val="00B6522E"/>
    <w:rsid w:val="00B656C9"/>
    <w:rsid w:val="00B65964"/>
    <w:rsid w:val="00B66226"/>
    <w:rsid w:val="00B671C3"/>
    <w:rsid w:val="00B70CF2"/>
    <w:rsid w:val="00B7150E"/>
    <w:rsid w:val="00B72562"/>
    <w:rsid w:val="00B72B34"/>
    <w:rsid w:val="00B73041"/>
    <w:rsid w:val="00B74C73"/>
    <w:rsid w:val="00B80E85"/>
    <w:rsid w:val="00B8117C"/>
    <w:rsid w:val="00B831E8"/>
    <w:rsid w:val="00B833FC"/>
    <w:rsid w:val="00B848EA"/>
    <w:rsid w:val="00B876D9"/>
    <w:rsid w:val="00B87B0B"/>
    <w:rsid w:val="00B902C4"/>
    <w:rsid w:val="00B90835"/>
    <w:rsid w:val="00B92183"/>
    <w:rsid w:val="00B95F2C"/>
    <w:rsid w:val="00BA072B"/>
    <w:rsid w:val="00BA091A"/>
    <w:rsid w:val="00BA1826"/>
    <w:rsid w:val="00BA2C32"/>
    <w:rsid w:val="00BA44C0"/>
    <w:rsid w:val="00BA4A3B"/>
    <w:rsid w:val="00BA4E80"/>
    <w:rsid w:val="00BA6D1B"/>
    <w:rsid w:val="00BA7B77"/>
    <w:rsid w:val="00BB12EF"/>
    <w:rsid w:val="00BB1CE8"/>
    <w:rsid w:val="00BB3609"/>
    <w:rsid w:val="00BB4938"/>
    <w:rsid w:val="00BB49BD"/>
    <w:rsid w:val="00BB4F29"/>
    <w:rsid w:val="00BB5FFA"/>
    <w:rsid w:val="00BC4B0D"/>
    <w:rsid w:val="00BC6FAB"/>
    <w:rsid w:val="00BC7822"/>
    <w:rsid w:val="00BD102A"/>
    <w:rsid w:val="00BD14BD"/>
    <w:rsid w:val="00BD151D"/>
    <w:rsid w:val="00BD1710"/>
    <w:rsid w:val="00BD17E4"/>
    <w:rsid w:val="00BD1CCA"/>
    <w:rsid w:val="00BD464B"/>
    <w:rsid w:val="00BD49ED"/>
    <w:rsid w:val="00BD4F34"/>
    <w:rsid w:val="00BD53F9"/>
    <w:rsid w:val="00BD57AD"/>
    <w:rsid w:val="00BE177B"/>
    <w:rsid w:val="00BE27F4"/>
    <w:rsid w:val="00BE576C"/>
    <w:rsid w:val="00BE73DF"/>
    <w:rsid w:val="00BF0091"/>
    <w:rsid w:val="00BF30AE"/>
    <w:rsid w:val="00BF411D"/>
    <w:rsid w:val="00BF419E"/>
    <w:rsid w:val="00BF5501"/>
    <w:rsid w:val="00BF7409"/>
    <w:rsid w:val="00BF7A86"/>
    <w:rsid w:val="00C01171"/>
    <w:rsid w:val="00C01E06"/>
    <w:rsid w:val="00C02271"/>
    <w:rsid w:val="00C03289"/>
    <w:rsid w:val="00C03F2E"/>
    <w:rsid w:val="00C04A33"/>
    <w:rsid w:val="00C04DCF"/>
    <w:rsid w:val="00C06639"/>
    <w:rsid w:val="00C07C48"/>
    <w:rsid w:val="00C110C8"/>
    <w:rsid w:val="00C12D51"/>
    <w:rsid w:val="00C14EAD"/>
    <w:rsid w:val="00C20620"/>
    <w:rsid w:val="00C20DAF"/>
    <w:rsid w:val="00C22209"/>
    <w:rsid w:val="00C2331D"/>
    <w:rsid w:val="00C24BC2"/>
    <w:rsid w:val="00C30AF1"/>
    <w:rsid w:val="00C31AEC"/>
    <w:rsid w:val="00C3295D"/>
    <w:rsid w:val="00C35504"/>
    <w:rsid w:val="00C35889"/>
    <w:rsid w:val="00C36072"/>
    <w:rsid w:val="00C40E2B"/>
    <w:rsid w:val="00C4260E"/>
    <w:rsid w:val="00C42D51"/>
    <w:rsid w:val="00C43131"/>
    <w:rsid w:val="00C432D5"/>
    <w:rsid w:val="00C44385"/>
    <w:rsid w:val="00C44657"/>
    <w:rsid w:val="00C46C83"/>
    <w:rsid w:val="00C471A0"/>
    <w:rsid w:val="00C47306"/>
    <w:rsid w:val="00C4755C"/>
    <w:rsid w:val="00C479B5"/>
    <w:rsid w:val="00C47A6B"/>
    <w:rsid w:val="00C51046"/>
    <w:rsid w:val="00C5566D"/>
    <w:rsid w:val="00C62CC8"/>
    <w:rsid w:val="00C63B35"/>
    <w:rsid w:val="00C646FD"/>
    <w:rsid w:val="00C64802"/>
    <w:rsid w:val="00C7377D"/>
    <w:rsid w:val="00C7430F"/>
    <w:rsid w:val="00C7551C"/>
    <w:rsid w:val="00C75D58"/>
    <w:rsid w:val="00C76B64"/>
    <w:rsid w:val="00C80026"/>
    <w:rsid w:val="00C8067B"/>
    <w:rsid w:val="00C81B2F"/>
    <w:rsid w:val="00C828B9"/>
    <w:rsid w:val="00C8292C"/>
    <w:rsid w:val="00C84832"/>
    <w:rsid w:val="00C902A2"/>
    <w:rsid w:val="00C90803"/>
    <w:rsid w:val="00C9133E"/>
    <w:rsid w:val="00C9192D"/>
    <w:rsid w:val="00C919AD"/>
    <w:rsid w:val="00C91E25"/>
    <w:rsid w:val="00C9238D"/>
    <w:rsid w:val="00C92BEC"/>
    <w:rsid w:val="00C93DF6"/>
    <w:rsid w:val="00C96368"/>
    <w:rsid w:val="00C9671C"/>
    <w:rsid w:val="00C97056"/>
    <w:rsid w:val="00C97A0B"/>
    <w:rsid w:val="00CA17B9"/>
    <w:rsid w:val="00CA4B28"/>
    <w:rsid w:val="00CA622E"/>
    <w:rsid w:val="00CA720E"/>
    <w:rsid w:val="00CB03F1"/>
    <w:rsid w:val="00CB1491"/>
    <w:rsid w:val="00CB18F7"/>
    <w:rsid w:val="00CB1E9D"/>
    <w:rsid w:val="00CB3614"/>
    <w:rsid w:val="00CB444C"/>
    <w:rsid w:val="00CB53E7"/>
    <w:rsid w:val="00CB5EAB"/>
    <w:rsid w:val="00CB6B3D"/>
    <w:rsid w:val="00CC0140"/>
    <w:rsid w:val="00CC069A"/>
    <w:rsid w:val="00CC096A"/>
    <w:rsid w:val="00CC147F"/>
    <w:rsid w:val="00CC66CA"/>
    <w:rsid w:val="00CD059D"/>
    <w:rsid w:val="00CD217A"/>
    <w:rsid w:val="00CD226A"/>
    <w:rsid w:val="00CD36E1"/>
    <w:rsid w:val="00CD41AB"/>
    <w:rsid w:val="00CD543C"/>
    <w:rsid w:val="00CD7E0F"/>
    <w:rsid w:val="00CD7E7A"/>
    <w:rsid w:val="00CE0458"/>
    <w:rsid w:val="00CE21E6"/>
    <w:rsid w:val="00CE2503"/>
    <w:rsid w:val="00CE33A9"/>
    <w:rsid w:val="00CE4BE0"/>
    <w:rsid w:val="00CE5BB0"/>
    <w:rsid w:val="00CE6282"/>
    <w:rsid w:val="00CE6F0E"/>
    <w:rsid w:val="00CE7E75"/>
    <w:rsid w:val="00CF0B5D"/>
    <w:rsid w:val="00CF0D6B"/>
    <w:rsid w:val="00CF258A"/>
    <w:rsid w:val="00CF2C73"/>
    <w:rsid w:val="00CF371E"/>
    <w:rsid w:val="00CF53F8"/>
    <w:rsid w:val="00D0099D"/>
    <w:rsid w:val="00D018CB"/>
    <w:rsid w:val="00D03B3F"/>
    <w:rsid w:val="00D04BFD"/>
    <w:rsid w:val="00D06593"/>
    <w:rsid w:val="00D101E2"/>
    <w:rsid w:val="00D105AC"/>
    <w:rsid w:val="00D10670"/>
    <w:rsid w:val="00D119C9"/>
    <w:rsid w:val="00D11D40"/>
    <w:rsid w:val="00D12019"/>
    <w:rsid w:val="00D133BD"/>
    <w:rsid w:val="00D135B6"/>
    <w:rsid w:val="00D1478E"/>
    <w:rsid w:val="00D15D95"/>
    <w:rsid w:val="00D17FD0"/>
    <w:rsid w:val="00D202D5"/>
    <w:rsid w:val="00D21ABF"/>
    <w:rsid w:val="00D23355"/>
    <w:rsid w:val="00D240F0"/>
    <w:rsid w:val="00D24235"/>
    <w:rsid w:val="00D24E3F"/>
    <w:rsid w:val="00D24FF9"/>
    <w:rsid w:val="00D276A9"/>
    <w:rsid w:val="00D27B70"/>
    <w:rsid w:val="00D31222"/>
    <w:rsid w:val="00D318F1"/>
    <w:rsid w:val="00D31F1B"/>
    <w:rsid w:val="00D404C0"/>
    <w:rsid w:val="00D437C7"/>
    <w:rsid w:val="00D43B16"/>
    <w:rsid w:val="00D46AC8"/>
    <w:rsid w:val="00D4782C"/>
    <w:rsid w:val="00D5036E"/>
    <w:rsid w:val="00D50C63"/>
    <w:rsid w:val="00D5152E"/>
    <w:rsid w:val="00D5233A"/>
    <w:rsid w:val="00D56281"/>
    <w:rsid w:val="00D60F42"/>
    <w:rsid w:val="00D61653"/>
    <w:rsid w:val="00D6216C"/>
    <w:rsid w:val="00D63C2A"/>
    <w:rsid w:val="00D649B9"/>
    <w:rsid w:val="00D6504B"/>
    <w:rsid w:val="00D65DAC"/>
    <w:rsid w:val="00D67723"/>
    <w:rsid w:val="00D67BB0"/>
    <w:rsid w:val="00D67D61"/>
    <w:rsid w:val="00D70123"/>
    <w:rsid w:val="00D7243D"/>
    <w:rsid w:val="00D72911"/>
    <w:rsid w:val="00D737CD"/>
    <w:rsid w:val="00D804EE"/>
    <w:rsid w:val="00D81287"/>
    <w:rsid w:val="00D82F38"/>
    <w:rsid w:val="00D8413D"/>
    <w:rsid w:val="00D84420"/>
    <w:rsid w:val="00D911C7"/>
    <w:rsid w:val="00D93987"/>
    <w:rsid w:val="00D94C21"/>
    <w:rsid w:val="00D9528A"/>
    <w:rsid w:val="00DA3B66"/>
    <w:rsid w:val="00DA7705"/>
    <w:rsid w:val="00DB4A02"/>
    <w:rsid w:val="00DB6D09"/>
    <w:rsid w:val="00DB743E"/>
    <w:rsid w:val="00DC1AD2"/>
    <w:rsid w:val="00DC1D22"/>
    <w:rsid w:val="00DC2942"/>
    <w:rsid w:val="00DC31B8"/>
    <w:rsid w:val="00DC32DD"/>
    <w:rsid w:val="00DC3CC2"/>
    <w:rsid w:val="00DC4F13"/>
    <w:rsid w:val="00DC5B37"/>
    <w:rsid w:val="00DC61B9"/>
    <w:rsid w:val="00DC6EDB"/>
    <w:rsid w:val="00DD01B4"/>
    <w:rsid w:val="00DD0608"/>
    <w:rsid w:val="00DD159B"/>
    <w:rsid w:val="00DD1D4D"/>
    <w:rsid w:val="00DD2F64"/>
    <w:rsid w:val="00DD3A13"/>
    <w:rsid w:val="00DD6455"/>
    <w:rsid w:val="00DE0121"/>
    <w:rsid w:val="00DE05DC"/>
    <w:rsid w:val="00DE0DB2"/>
    <w:rsid w:val="00DE1731"/>
    <w:rsid w:val="00DE1C56"/>
    <w:rsid w:val="00DE397C"/>
    <w:rsid w:val="00DE4D22"/>
    <w:rsid w:val="00DE61EC"/>
    <w:rsid w:val="00DE643B"/>
    <w:rsid w:val="00DE7709"/>
    <w:rsid w:val="00DF1C31"/>
    <w:rsid w:val="00DF1F4E"/>
    <w:rsid w:val="00DF481C"/>
    <w:rsid w:val="00E0092C"/>
    <w:rsid w:val="00E00BA6"/>
    <w:rsid w:val="00E00F8E"/>
    <w:rsid w:val="00E01CEF"/>
    <w:rsid w:val="00E020F5"/>
    <w:rsid w:val="00E0308D"/>
    <w:rsid w:val="00E03BC6"/>
    <w:rsid w:val="00E03C3F"/>
    <w:rsid w:val="00E05606"/>
    <w:rsid w:val="00E062BA"/>
    <w:rsid w:val="00E079CE"/>
    <w:rsid w:val="00E13578"/>
    <w:rsid w:val="00E14D2A"/>
    <w:rsid w:val="00E16219"/>
    <w:rsid w:val="00E1687E"/>
    <w:rsid w:val="00E16B50"/>
    <w:rsid w:val="00E209EC"/>
    <w:rsid w:val="00E226BF"/>
    <w:rsid w:val="00E24D1B"/>
    <w:rsid w:val="00E2544C"/>
    <w:rsid w:val="00E2555F"/>
    <w:rsid w:val="00E26394"/>
    <w:rsid w:val="00E26767"/>
    <w:rsid w:val="00E30645"/>
    <w:rsid w:val="00E30925"/>
    <w:rsid w:val="00E326F8"/>
    <w:rsid w:val="00E3323B"/>
    <w:rsid w:val="00E34FD9"/>
    <w:rsid w:val="00E357CC"/>
    <w:rsid w:val="00E365D9"/>
    <w:rsid w:val="00E37271"/>
    <w:rsid w:val="00E40BFD"/>
    <w:rsid w:val="00E41122"/>
    <w:rsid w:val="00E42D01"/>
    <w:rsid w:val="00E444AB"/>
    <w:rsid w:val="00E45F06"/>
    <w:rsid w:val="00E5055C"/>
    <w:rsid w:val="00E50F03"/>
    <w:rsid w:val="00E53441"/>
    <w:rsid w:val="00E54589"/>
    <w:rsid w:val="00E57227"/>
    <w:rsid w:val="00E64126"/>
    <w:rsid w:val="00E670C1"/>
    <w:rsid w:val="00E7029B"/>
    <w:rsid w:val="00E704CD"/>
    <w:rsid w:val="00E70579"/>
    <w:rsid w:val="00E707EC"/>
    <w:rsid w:val="00E713A6"/>
    <w:rsid w:val="00E718E4"/>
    <w:rsid w:val="00E7284E"/>
    <w:rsid w:val="00E7312E"/>
    <w:rsid w:val="00E75246"/>
    <w:rsid w:val="00E752BE"/>
    <w:rsid w:val="00E76D6B"/>
    <w:rsid w:val="00E77809"/>
    <w:rsid w:val="00E77C1C"/>
    <w:rsid w:val="00E81E6A"/>
    <w:rsid w:val="00E8323A"/>
    <w:rsid w:val="00E83924"/>
    <w:rsid w:val="00E85DB2"/>
    <w:rsid w:val="00E86FAD"/>
    <w:rsid w:val="00E87B7D"/>
    <w:rsid w:val="00E92717"/>
    <w:rsid w:val="00E9380C"/>
    <w:rsid w:val="00E9475B"/>
    <w:rsid w:val="00E975CC"/>
    <w:rsid w:val="00EA24AC"/>
    <w:rsid w:val="00EA2AA4"/>
    <w:rsid w:val="00EA2CBF"/>
    <w:rsid w:val="00EA3843"/>
    <w:rsid w:val="00EA4474"/>
    <w:rsid w:val="00EA57B5"/>
    <w:rsid w:val="00EA5A80"/>
    <w:rsid w:val="00EA76AF"/>
    <w:rsid w:val="00EB1AC5"/>
    <w:rsid w:val="00EB1D39"/>
    <w:rsid w:val="00EB290A"/>
    <w:rsid w:val="00EB2CEB"/>
    <w:rsid w:val="00EB30C2"/>
    <w:rsid w:val="00EB4444"/>
    <w:rsid w:val="00EB4C32"/>
    <w:rsid w:val="00EB51D9"/>
    <w:rsid w:val="00EB57F8"/>
    <w:rsid w:val="00EB6332"/>
    <w:rsid w:val="00EB6BEE"/>
    <w:rsid w:val="00EB7AF8"/>
    <w:rsid w:val="00EC0CC0"/>
    <w:rsid w:val="00EC1D49"/>
    <w:rsid w:val="00EC2330"/>
    <w:rsid w:val="00EC37E2"/>
    <w:rsid w:val="00EC6A04"/>
    <w:rsid w:val="00EC77DA"/>
    <w:rsid w:val="00ED029C"/>
    <w:rsid w:val="00ED0586"/>
    <w:rsid w:val="00ED1AA9"/>
    <w:rsid w:val="00ED2A21"/>
    <w:rsid w:val="00ED4354"/>
    <w:rsid w:val="00ED7112"/>
    <w:rsid w:val="00EE02B0"/>
    <w:rsid w:val="00EE04C0"/>
    <w:rsid w:val="00EE20D8"/>
    <w:rsid w:val="00EE21DE"/>
    <w:rsid w:val="00EE3923"/>
    <w:rsid w:val="00EE469B"/>
    <w:rsid w:val="00EE4FB7"/>
    <w:rsid w:val="00EE5112"/>
    <w:rsid w:val="00EE5476"/>
    <w:rsid w:val="00EE5762"/>
    <w:rsid w:val="00EF0BCD"/>
    <w:rsid w:val="00EF2262"/>
    <w:rsid w:val="00EF25E4"/>
    <w:rsid w:val="00EF54BE"/>
    <w:rsid w:val="00F02546"/>
    <w:rsid w:val="00F0267F"/>
    <w:rsid w:val="00F04691"/>
    <w:rsid w:val="00F062AB"/>
    <w:rsid w:val="00F0635A"/>
    <w:rsid w:val="00F06FF8"/>
    <w:rsid w:val="00F10A1C"/>
    <w:rsid w:val="00F11079"/>
    <w:rsid w:val="00F114FF"/>
    <w:rsid w:val="00F12118"/>
    <w:rsid w:val="00F12D12"/>
    <w:rsid w:val="00F155A9"/>
    <w:rsid w:val="00F210FC"/>
    <w:rsid w:val="00F2258B"/>
    <w:rsid w:val="00F23AC0"/>
    <w:rsid w:val="00F248D0"/>
    <w:rsid w:val="00F25597"/>
    <w:rsid w:val="00F25C18"/>
    <w:rsid w:val="00F2604A"/>
    <w:rsid w:val="00F2627D"/>
    <w:rsid w:val="00F26881"/>
    <w:rsid w:val="00F27269"/>
    <w:rsid w:val="00F276BC"/>
    <w:rsid w:val="00F30662"/>
    <w:rsid w:val="00F30AB1"/>
    <w:rsid w:val="00F42DE3"/>
    <w:rsid w:val="00F43BDC"/>
    <w:rsid w:val="00F441DC"/>
    <w:rsid w:val="00F44D14"/>
    <w:rsid w:val="00F45BC2"/>
    <w:rsid w:val="00F46346"/>
    <w:rsid w:val="00F479EC"/>
    <w:rsid w:val="00F5040F"/>
    <w:rsid w:val="00F517D6"/>
    <w:rsid w:val="00F529CD"/>
    <w:rsid w:val="00F531AE"/>
    <w:rsid w:val="00F54620"/>
    <w:rsid w:val="00F55443"/>
    <w:rsid w:val="00F56AE9"/>
    <w:rsid w:val="00F57AB5"/>
    <w:rsid w:val="00F604A3"/>
    <w:rsid w:val="00F612A5"/>
    <w:rsid w:val="00F63140"/>
    <w:rsid w:val="00F6351F"/>
    <w:rsid w:val="00F65088"/>
    <w:rsid w:val="00F652B3"/>
    <w:rsid w:val="00F66BA3"/>
    <w:rsid w:val="00F70390"/>
    <w:rsid w:val="00F703D1"/>
    <w:rsid w:val="00F70C7E"/>
    <w:rsid w:val="00F717B7"/>
    <w:rsid w:val="00F71A94"/>
    <w:rsid w:val="00F741EE"/>
    <w:rsid w:val="00F75911"/>
    <w:rsid w:val="00F76D26"/>
    <w:rsid w:val="00F76DAC"/>
    <w:rsid w:val="00F77210"/>
    <w:rsid w:val="00F77349"/>
    <w:rsid w:val="00F77DFD"/>
    <w:rsid w:val="00F81D1A"/>
    <w:rsid w:val="00F84B4D"/>
    <w:rsid w:val="00F84C9B"/>
    <w:rsid w:val="00F85A94"/>
    <w:rsid w:val="00F86552"/>
    <w:rsid w:val="00F867F8"/>
    <w:rsid w:val="00F870E8"/>
    <w:rsid w:val="00F87572"/>
    <w:rsid w:val="00F935F7"/>
    <w:rsid w:val="00F974D1"/>
    <w:rsid w:val="00FA0E65"/>
    <w:rsid w:val="00FA3ADE"/>
    <w:rsid w:val="00FA6DBA"/>
    <w:rsid w:val="00FB09CB"/>
    <w:rsid w:val="00FB1B5B"/>
    <w:rsid w:val="00FB21BF"/>
    <w:rsid w:val="00FB4699"/>
    <w:rsid w:val="00FB5F38"/>
    <w:rsid w:val="00FB61A7"/>
    <w:rsid w:val="00FB6B57"/>
    <w:rsid w:val="00FC0248"/>
    <w:rsid w:val="00FC173A"/>
    <w:rsid w:val="00FC1D7B"/>
    <w:rsid w:val="00FC2B2E"/>
    <w:rsid w:val="00FC3814"/>
    <w:rsid w:val="00FC500C"/>
    <w:rsid w:val="00FC52A3"/>
    <w:rsid w:val="00FC5993"/>
    <w:rsid w:val="00FD02E7"/>
    <w:rsid w:val="00FD15FC"/>
    <w:rsid w:val="00FD1B4C"/>
    <w:rsid w:val="00FD40D7"/>
    <w:rsid w:val="00FD5CEC"/>
    <w:rsid w:val="00FD60E4"/>
    <w:rsid w:val="00FD6290"/>
    <w:rsid w:val="00FD6679"/>
    <w:rsid w:val="00FD679B"/>
    <w:rsid w:val="00FD6F36"/>
    <w:rsid w:val="00FE1706"/>
    <w:rsid w:val="00FE2732"/>
    <w:rsid w:val="00FE3E83"/>
    <w:rsid w:val="00FE5E63"/>
    <w:rsid w:val="00FE7F17"/>
    <w:rsid w:val="00FF15AE"/>
    <w:rsid w:val="00FF333B"/>
    <w:rsid w:val="00FF43A8"/>
    <w:rsid w:val="00FF4504"/>
    <w:rsid w:val="00FF63E8"/>
    <w:rsid w:val="00FF67AD"/>
    <w:rsid w:val="00FF6D1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A68D5"/>
  <w15:docId w15:val="{749CAF58-7747-4F96-8CBF-084D6639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E92717"/>
    <w:pPr>
      <w:widowControl w:val="0"/>
      <w:jc w:val="both"/>
    </w:pPr>
    <w:rPr>
      <w:szCs w:val="24"/>
    </w:rPr>
  </w:style>
  <w:style w:type="paragraph" w:styleId="Heading1">
    <w:name w:val="heading 1"/>
    <w:basedOn w:val="Normal"/>
    <w:next w:val="Normal"/>
    <w:link w:val="Heading1Char"/>
    <w:qFormat/>
    <w:rsid w:val="00A029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0295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0295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727AD"/>
    <w:pPr>
      <w:keepNext/>
      <w:widowControl/>
      <w:outlineLvl w:val="3"/>
    </w:pPr>
    <w:rPr>
      <w:rFonts w:eastAsia="MS Mincho"/>
      <w:i/>
      <w:iCs/>
      <w:sz w:val="24"/>
      <w:lang w:val="en-GB" w:eastAsia="ja-JP"/>
    </w:rPr>
  </w:style>
  <w:style w:type="paragraph" w:styleId="Heading5">
    <w:name w:val="heading 5"/>
    <w:basedOn w:val="Normal"/>
    <w:link w:val="Heading5Char"/>
    <w:qFormat/>
    <w:rsid w:val="0048309C"/>
    <w:pPr>
      <w:widowControl/>
      <w:spacing w:before="100" w:beforeAutospacing="1" w:after="100" w:afterAutospacing="1"/>
      <w:jc w:val="left"/>
      <w:outlineLvl w:val="4"/>
    </w:pPr>
    <w:rPr>
      <w:b/>
      <w:bCs/>
      <w:szCs w:val="20"/>
      <w:lang w:val="id-ID" w:eastAsia="id-ID"/>
    </w:rPr>
  </w:style>
  <w:style w:type="paragraph" w:styleId="Heading6">
    <w:name w:val="heading 6"/>
    <w:basedOn w:val="Normal"/>
    <w:next w:val="Normal"/>
    <w:link w:val="Heading6Char"/>
    <w:qFormat/>
    <w:rsid w:val="00A727AD"/>
    <w:pPr>
      <w:keepNext/>
      <w:widowControl/>
      <w:jc w:val="center"/>
      <w:outlineLvl w:val="5"/>
    </w:pPr>
    <w:rPr>
      <w:rFonts w:eastAsia="MS Mincho"/>
      <w:i/>
      <w:iCs/>
      <w:sz w:val="24"/>
      <w:lang w:val="en-GB" w:eastAsia="ja-JP"/>
    </w:rPr>
  </w:style>
  <w:style w:type="paragraph" w:styleId="Heading7">
    <w:name w:val="heading 7"/>
    <w:basedOn w:val="Normal"/>
    <w:next w:val="Normal"/>
    <w:link w:val="Heading7Char"/>
    <w:qFormat/>
    <w:rsid w:val="00125AB4"/>
    <w:pPr>
      <w:widowControl/>
      <w:spacing w:before="240" w:after="60"/>
      <w:jc w:val="center"/>
      <w:outlineLvl w:val="6"/>
    </w:pPr>
    <w:rPr>
      <w:sz w:val="24"/>
      <w:lang w:val="id-ID"/>
    </w:rPr>
  </w:style>
  <w:style w:type="paragraph" w:styleId="Heading8">
    <w:name w:val="heading 8"/>
    <w:basedOn w:val="Normal"/>
    <w:next w:val="Normal"/>
    <w:qFormat/>
    <w:rsid w:val="00F55443"/>
    <w:pPr>
      <w:widowControl/>
      <w:spacing w:before="240" w:after="60"/>
      <w:jc w:val="left"/>
      <w:outlineLvl w:val="7"/>
    </w:pPr>
    <w:rPr>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25AB4"/>
    <w:rPr>
      <w:rFonts w:ascii="Arial" w:hAnsi="Arial" w:cs="Arial"/>
      <w:b/>
      <w:bCs/>
      <w:kern w:val="32"/>
      <w:sz w:val="32"/>
      <w:szCs w:val="32"/>
      <w:lang w:val="en-US" w:eastAsia="en-US" w:bidi="ar-SA"/>
    </w:rPr>
  </w:style>
  <w:style w:type="character" w:customStyle="1" w:styleId="Heading2Char">
    <w:name w:val="Heading 2 Char"/>
    <w:link w:val="Heading2"/>
    <w:rsid w:val="00A727AD"/>
    <w:rPr>
      <w:rFonts w:ascii="Arial" w:hAnsi="Arial" w:cs="Arial"/>
      <w:b/>
      <w:bCs/>
      <w:i/>
      <w:iCs/>
      <w:sz w:val="28"/>
      <w:szCs w:val="28"/>
      <w:lang w:val="en-US" w:eastAsia="en-US" w:bidi="ar-SA"/>
    </w:rPr>
  </w:style>
  <w:style w:type="character" w:customStyle="1" w:styleId="Heading3Char">
    <w:name w:val="Heading 3 Char"/>
    <w:link w:val="Heading3"/>
    <w:rsid w:val="00125AB4"/>
    <w:rPr>
      <w:rFonts w:ascii="Arial" w:hAnsi="Arial" w:cs="Arial"/>
      <w:b/>
      <w:bCs/>
      <w:sz w:val="26"/>
      <w:szCs w:val="26"/>
      <w:lang w:val="en-US" w:eastAsia="en-US" w:bidi="ar-SA"/>
    </w:rPr>
  </w:style>
  <w:style w:type="character" w:customStyle="1" w:styleId="Heading4Char">
    <w:name w:val="Heading 4 Char"/>
    <w:link w:val="Heading4"/>
    <w:semiHidden/>
    <w:rsid w:val="00125AB4"/>
    <w:rPr>
      <w:rFonts w:eastAsia="MS Mincho"/>
      <w:i/>
      <w:iCs/>
      <w:sz w:val="24"/>
      <w:szCs w:val="24"/>
      <w:lang w:val="en-GB" w:eastAsia="ja-JP" w:bidi="ar-SA"/>
    </w:rPr>
  </w:style>
  <w:style w:type="character" w:customStyle="1" w:styleId="Heading5Char">
    <w:name w:val="Heading 5 Char"/>
    <w:link w:val="Heading5"/>
    <w:rsid w:val="0048309C"/>
    <w:rPr>
      <w:b/>
      <w:bCs/>
      <w:lang w:val="id-ID" w:eastAsia="id-ID" w:bidi="ar-SA"/>
    </w:rPr>
  </w:style>
  <w:style w:type="character" w:customStyle="1" w:styleId="Heading6Char">
    <w:name w:val="Heading 6 Char"/>
    <w:link w:val="Heading6"/>
    <w:rsid w:val="00125AB4"/>
    <w:rPr>
      <w:rFonts w:eastAsia="MS Mincho"/>
      <w:i/>
      <w:iCs/>
      <w:sz w:val="24"/>
      <w:szCs w:val="24"/>
      <w:lang w:val="en-GB" w:eastAsia="ja-JP" w:bidi="ar-SA"/>
    </w:rPr>
  </w:style>
  <w:style w:type="character" w:customStyle="1" w:styleId="Heading7Char">
    <w:name w:val="Heading 7 Char"/>
    <w:link w:val="Heading7"/>
    <w:rsid w:val="00125AB4"/>
    <w:rPr>
      <w:sz w:val="24"/>
      <w:szCs w:val="24"/>
      <w:lang w:val="id-ID" w:eastAsia="en-US" w:bidi="ar-SA"/>
    </w:rPr>
  </w:style>
  <w:style w:type="paragraph" w:customStyle="1" w:styleId="Ventura-Heading">
    <w:name w:val="Ventura-Heading"/>
    <w:basedOn w:val="Normal"/>
    <w:semiHidden/>
    <w:rsid w:val="005C33B0"/>
    <w:pPr>
      <w:ind w:left="450" w:hanging="450"/>
    </w:pPr>
    <w:rPr>
      <w:bCs/>
      <w:snapToGrid w:val="0"/>
      <w:szCs w:val="20"/>
    </w:rPr>
  </w:style>
  <w:style w:type="paragraph" w:customStyle="1" w:styleId="VenturaTitle">
    <w:name w:val="Ventura Title"/>
    <w:basedOn w:val="Normal"/>
    <w:rsid w:val="00BD53F9"/>
    <w:pPr>
      <w:spacing w:before="240" w:after="240"/>
      <w:contextualSpacing/>
    </w:pPr>
    <w:rPr>
      <w:rFonts w:ascii="Book Antiqua" w:hAnsi="Book Antiqua"/>
      <w:sz w:val="32"/>
      <w:szCs w:val="26"/>
    </w:rPr>
  </w:style>
  <w:style w:type="paragraph" w:customStyle="1" w:styleId="Ventura-Author">
    <w:name w:val="Ventura-Author"/>
    <w:basedOn w:val="Normal"/>
    <w:link w:val="Ventura-AuthorChar"/>
    <w:rsid w:val="00BD53F9"/>
    <w:rPr>
      <w:rFonts w:ascii="Book Antiqua" w:hAnsi="Book Antiqua"/>
      <w:sz w:val="24"/>
    </w:rPr>
  </w:style>
  <w:style w:type="character" w:customStyle="1" w:styleId="Ventura-AuthorChar">
    <w:name w:val="Ventura-Author Char"/>
    <w:link w:val="Ventura-Author"/>
    <w:rsid w:val="004F3EB2"/>
    <w:rPr>
      <w:rFonts w:ascii="Book Antiqua" w:hAnsi="Book Antiqua"/>
      <w:sz w:val="24"/>
      <w:szCs w:val="24"/>
      <w:lang w:val="en-US" w:eastAsia="en-US" w:bidi="ar-SA"/>
    </w:rPr>
  </w:style>
  <w:style w:type="paragraph" w:customStyle="1" w:styleId="Ventura-AuthorAddress">
    <w:name w:val="Ventura-AuthorAddress"/>
    <w:basedOn w:val="Normal"/>
    <w:rsid w:val="00BD53F9"/>
    <w:rPr>
      <w:i/>
    </w:rPr>
  </w:style>
  <w:style w:type="paragraph" w:customStyle="1" w:styleId="Ventura-AbstractTitle">
    <w:name w:val="Ventura-AbstractTitle"/>
    <w:basedOn w:val="Normal"/>
    <w:rsid w:val="006471BA"/>
    <w:pPr>
      <w:spacing w:after="120"/>
    </w:pPr>
    <w:rPr>
      <w:caps/>
      <w:spacing w:val="70"/>
      <w:sz w:val="22"/>
    </w:rPr>
  </w:style>
  <w:style w:type="paragraph" w:customStyle="1" w:styleId="Ventura-Abstract">
    <w:name w:val="Ventura-Abstract"/>
    <w:basedOn w:val="Normal"/>
    <w:link w:val="Ventura-AbstractChar"/>
    <w:rsid w:val="00DE4D22"/>
    <w:rPr>
      <w:rFonts w:ascii="Book Antiqua" w:hAnsi="Book Antiqua"/>
      <w:i/>
      <w:spacing w:val="2"/>
      <w:sz w:val="18"/>
    </w:rPr>
  </w:style>
  <w:style w:type="character" w:customStyle="1" w:styleId="Ventura-AbstractChar">
    <w:name w:val="Ventura-Abstract Char"/>
    <w:link w:val="Ventura-Abstract"/>
    <w:rsid w:val="00DE4D22"/>
    <w:rPr>
      <w:rFonts w:ascii="Book Antiqua" w:hAnsi="Book Antiqua"/>
      <w:i/>
      <w:spacing w:val="2"/>
      <w:sz w:val="18"/>
      <w:szCs w:val="24"/>
      <w:lang w:val="en-US" w:eastAsia="en-US" w:bidi="ar-SA"/>
    </w:rPr>
  </w:style>
  <w:style w:type="paragraph" w:customStyle="1" w:styleId="Ventura-Keyword">
    <w:name w:val="Ventura-Keyword"/>
    <w:basedOn w:val="Ventura-Abstract"/>
    <w:link w:val="Ventura-KeywordChar"/>
    <w:rsid w:val="00DC3CC2"/>
    <w:pPr>
      <w:jc w:val="left"/>
    </w:pPr>
  </w:style>
  <w:style w:type="character" w:customStyle="1" w:styleId="Ventura-KeywordChar">
    <w:name w:val="Ventura-Keyword Char"/>
    <w:link w:val="Ventura-Keyword"/>
    <w:rsid w:val="00DC3CC2"/>
    <w:rPr>
      <w:rFonts w:ascii="Book Antiqua" w:hAnsi="Book Antiqua"/>
      <w:i/>
      <w:spacing w:val="2"/>
      <w:sz w:val="18"/>
      <w:szCs w:val="24"/>
      <w:lang w:val="en-US" w:eastAsia="en-US" w:bidi="ar-SA"/>
    </w:rPr>
  </w:style>
  <w:style w:type="paragraph" w:customStyle="1" w:styleId="Ventura-Heading1">
    <w:name w:val="Ventura-Heading1"/>
    <w:basedOn w:val="Normal"/>
    <w:link w:val="Ventura-Heading1Char"/>
    <w:rsid w:val="0061090C"/>
    <w:rPr>
      <w:rFonts w:ascii="Book Antiqua" w:hAnsi="Book Antiqua"/>
      <w:b/>
      <w:caps/>
    </w:rPr>
  </w:style>
  <w:style w:type="character" w:customStyle="1" w:styleId="Ventura-Heading1Char">
    <w:name w:val="Ventura-Heading1 Char"/>
    <w:link w:val="Ventura-Heading1"/>
    <w:rsid w:val="0061090C"/>
    <w:rPr>
      <w:rFonts w:ascii="Book Antiqua" w:hAnsi="Book Antiqua"/>
      <w:b/>
      <w:caps/>
      <w:szCs w:val="24"/>
      <w:lang w:val="en-US" w:eastAsia="en-US" w:bidi="ar-SA"/>
    </w:rPr>
  </w:style>
  <w:style w:type="paragraph" w:customStyle="1" w:styleId="Ventura-Content">
    <w:name w:val="Ventura-Content"/>
    <w:basedOn w:val="Normal"/>
    <w:link w:val="Ventura-ContentChar"/>
    <w:rsid w:val="005F0BBB"/>
    <w:pPr>
      <w:ind w:firstLine="397"/>
    </w:pPr>
    <w:rPr>
      <w:rFonts w:ascii="Book Antiqua" w:hAnsi="Book Antiqua"/>
    </w:rPr>
  </w:style>
  <w:style w:type="character" w:customStyle="1" w:styleId="Ventura-ContentChar">
    <w:name w:val="Ventura-Content Char"/>
    <w:link w:val="Ventura-Content"/>
    <w:rsid w:val="005F0BBB"/>
    <w:rPr>
      <w:rFonts w:ascii="Book Antiqua" w:hAnsi="Book Antiqua"/>
      <w:szCs w:val="24"/>
      <w:lang w:val="en-US" w:eastAsia="en-US" w:bidi="ar-SA"/>
    </w:rPr>
  </w:style>
  <w:style w:type="paragraph" w:customStyle="1" w:styleId="Ventura-Heading2">
    <w:name w:val="Ventura-Heading2"/>
    <w:basedOn w:val="Normal"/>
    <w:link w:val="Ventura-Heading2Char"/>
    <w:rsid w:val="00E03BC6"/>
    <w:rPr>
      <w:rFonts w:ascii="Book Antiqua" w:hAnsi="Book Antiqua"/>
      <w:b/>
    </w:rPr>
  </w:style>
  <w:style w:type="character" w:customStyle="1" w:styleId="Ventura-Heading2Char">
    <w:name w:val="Ventura-Heading2 Char"/>
    <w:link w:val="Ventura-Heading2"/>
    <w:rsid w:val="00E03BC6"/>
    <w:rPr>
      <w:rFonts w:ascii="Book Antiqua" w:hAnsi="Book Antiqua"/>
      <w:b/>
      <w:szCs w:val="24"/>
      <w:lang w:val="en-US" w:eastAsia="en-US" w:bidi="ar-SA"/>
    </w:rPr>
  </w:style>
  <w:style w:type="paragraph" w:customStyle="1" w:styleId="Ventura-Formula">
    <w:name w:val="Ventura-Formula"/>
    <w:basedOn w:val="Ventura-Content"/>
    <w:link w:val="Ventura-FormulaChar"/>
    <w:rsid w:val="00292DA8"/>
    <w:pPr>
      <w:tabs>
        <w:tab w:val="right" w:pos="4621"/>
      </w:tabs>
      <w:ind w:firstLine="0"/>
    </w:pPr>
  </w:style>
  <w:style w:type="character" w:customStyle="1" w:styleId="Ventura-FormulaChar">
    <w:name w:val="Ventura-Formula Char"/>
    <w:link w:val="Ventura-Formula"/>
    <w:rsid w:val="001133B8"/>
    <w:rPr>
      <w:rFonts w:ascii="Book Antiqua" w:hAnsi="Book Antiqua"/>
      <w:szCs w:val="24"/>
      <w:lang w:val="en-US" w:eastAsia="en-US" w:bidi="ar-SA"/>
    </w:rPr>
  </w:style>
  <w:style w:type="paragraph" w:customStyle="1" w:styleId="Ventura-ContentContinue">
    <w:name w:val="Ventura-ContentContinue"/>
    <w:basedOn w:val="Ventura-Content"/>
    <w:rsid w:val="00074E0C"/>
    <w:pPr>
      <w:ind w:firstLine="0"/>
    </w:pPr>
  </w:style>
  <w:style w:type="paragraph" w:customStyle="1" w:styleId="Ventura-FigureTitle">
    <w:name w:val="Ventura-FigureTitle"/>
    <w:basedOn w:val="Normal"/>
    <w:rsid w:val="00511A21"/>
    <w:pPr>
      <w:jc w:val="center"/>
    </w:pPr>
    <w:rPr>
      <w:b/>
      <w:sz w:val="22"/>
    </w:rPr>
  </w:style>
  <w:style w:type="paragraph" w:styleId="Header">
    <w:name w:val="header"/>
    <w:aliases w:val="Ventura-Header,Persen"/>
    <w:basedOn w:val="Normal"/>
    <w:link w:val="HeaderChar"/>
    <w:uiPriority w:val="99"/>
    <w:rsid w:val="00BD53F9"/>
    <w:pPr>
      <w:tabs>
        <w:tab w:val="right" w:pos="8789"/>
      </w:tabs>
    </w:pPr>
    <w:rPr>
      <w:rFonts w:ascii="Book Antiqua" w:hAnsi="Book Antiqua"/>
    </w:rPr>
  </w:style>
  <w:style w:type="character" w:customStyle="1" w:styleId="HeaderChar">
    <w:name w:val="Header Char"/>
    <w:aliases w:val="Ventura-Header Char,Persen Char"/>
    <w:link w:val="Header"/>
    <w:uiPriority w:val="99"/>
    <w:rsid w:val="00125AB4"/>
    <w:rPr>
      <w:rFonts w:ascii="Book Antiqua" w:hAnsi="Book Antiqua"/>
      <w:szCs w:val="24"/>
      <w:lang w:val="en-US" w:eastAsia="en-US" w:bidi="ar-SA"/>
    </w:rPr>
  </w:style>
  <w:style w:type="paragraph" w:styleId="Footer">
    <w:name w:val="footer"/>
    <w:aliases w:val="Footer Char Char Char,Footer Char Char Char Char"/>
    <w:basedOn w:val="Normal"/>
    <w:link w:val="FooterChar"/>
    <w:uiPriority w:val="99"/>
    <w:rsid w:val="00511A21"/>
    <w:pPr>
      <w:jc w:val="center"/>
    </w:pPr>
    <w:rPr>
      <w:sz w:val="24"/>
    </w:rPr>
  </w:style>
  <w:style w:type="character" w:customStyle="1" w:styleId="FooterChar">
    <w:name w:val="Footer Char"/>
    <w:aliases w:val="Footer Char Char Char Char1,Footer Char Char Char Char Char"/>
    <w:link w:val="Footer"/>
    <w:uiPriority w:val="99"/>
    <w:rsid w:val="004016BE"/>
    <w:rPr>
      <w:sz w:val="24"/>
      <w:szCs w:val="24"/>
      <w:lang w:val="en-US" w:eastAsia="en-US"/>
    </w:rPr>
  </w:style>
  <w:style w:type="character" w:styleId="PageNumber">
    <w:name w:val="page number"/>
    <w:uiPriority w:val="99"/>
    <w:rsid w:val="00511A21"/>
    <w:rPr>
      <w:sz w:val="24"/>
    </w:rPr>
  </w:style>
  <w:style w:type="paragraph" w:customStyle="1" w:styleId="Ventura-Reference">
    <w:name w:val="Ventura-Reference"/>
    <w:basedOn w:val="Normal"/>
    <w:link w:val="Ventura-ReferenceChar"/>
    <w:rsid w:val="0061090C"/>
    <w:pPr>
      <w:ind w:left="397" w:hanging="397"/>
    </w:pPr>
    <w:rPr>
      <w:rFonts w:ascii="Book Antiqua" w:hAnsi="Book Antiqua"/>
    </w:rPr>
  </w:style>
  <w:style w:type="character" w:customStyle="1" w:styleId="Ventura-ReferenceChar">
    <w:name w:val="Ventura-Reference Char"/>
    <w:link w:val="Ventura-Reference"/>
    <w:rsid w:val="0061090C"/>
    <w:rPr>
      <w:rFonts w:ascii="Book Antiqua" w:hAnsi="Book Antiqua"/>
      <w:szCs w:val="24"/>
      <w:lang w:val="en-US" w:eastAsia="en-US" w:bidi="ar-SA"/>
    </w:rPr>
  </w:style>
  <w:style w:type="character" w:customStyle="1" w:styleId="CommentTextChar">
    <w:name w:val="Comment Text Char"/>
    <w:link w:val="CommentText"/>
    <w:uiPriority w:val="99"/>
    <w:semiHidden/>
    <w:locked/>
    <w:rsid w:val="00117232"/>
    <w:rPr>
      <w:lang w:val="en-US" w:eastAsia="en-US" w:bidi="ar-SA"/>
    </w:rPr>
  </w:style>
  <w:style w:type="paragraph" w:styleId="CommentText">
    <w:name w:val="annotation text"/>
    <w:basedOn w:val="Normal"/>
    <w:link w:val="CommentTextChar"/>
    <w:uiPriority w:val="99"/>
    <w:semiHidden/>
    <w:rsid w:val="00117232"/>
    <w:pPr>
      <w:widowControl/>
      <w:jc w:val="left"/>
    </w:pPr>
    <w:rPr>
      <w:szCs w:val="20"/>
    </w:rPr>
  </w:style>
  <w:style w:type="character" w:styleId="CommentReference">
    <w:name w:val="annotation reference"/>
    <w:uiPriority w:val="99"/>
    <w:semiHidden/>
    <w:rsid w:val="00117232"/>
    <w:rPr>
      <w:sz w:val="16"/>
      <w:szCs w:val="16"/>
    </w:rPr>
  </w:style>
  <w:style w:type="character" w:styleId="Hyperlink">
    <w:name w:val="Hyperlink"/>
    <w:uiPriority w:val="99"/>
    <w:rsid w:val="00514496"/>
    <w:rPr>
      <w:color w:val="auto"/>
      <w:u w:val="none"/>
    </w:rPr>
  </w:style>
  <w:style w:type="character" w:customStyle="1" w:styleId="TitleChar">
    <w:name w:val="Title Char"/>
    <w:link w:val="Title"/>
    <w:locked/>
    <w:rsid w:val="004A4EB6"/>
    <w:rPr>
      <w:b/>
      <w:bCs/>
      <w:sz w:val="24"/>
      <w:szCs w:val="24"/>
      <w:lang w:val="en-US" w:eastAsia="en-US" w:bidi="ar-SA"/>
    </w:rPr>
  </w:style>
  <w:style w:type="paragraph" w:styleId="Title">
    <w:name w:val="Title"/>
    <w:basedOn w:val="Normal"/>
    <w:link w:val="TitleChar"/>
    <w:qFormat/>
    <w:rsid w:val="004A4EB6"/>
    <w:pPr>
      <w:widowControl/>
      <w:jc w:val="center"/>
    </w:pPr>
    <w:rPr>
      <w:b/>
      <w:bCs/>
      <w:sz w:val="24"/>
    </w:rPr>
  </w:style>
  <w:style w:type="character" w:customStyle="1" w:styleId="BodyTextIndentChar">
    <w:name w:val="Body Text Indent Char"/>
    <w:link w:val="BodyTextIndent"/>
    <w:locked/>
    <w:rsid w:val="004A4EB6"/>
    <w:rPr>
      <w:sz w:val="24"/>
      <w:szCs w:val="24"/>
      <w:lang w:val="en-US" w:eastAsia="en-US" w:bidi="ar-SA"/>
    </w:rPr>
  </w:style>
  <w:style w:type="paragraph" w:styleId="BodyTextIndent">
    <w:name w:val="Body Text Indent"/>
    <w:basedOn w:val="Normal"/>
    <w:link w:val="BodyTextIndentChar"/>
    <w:rsid w:val="004A4EB6"/>
    <w:pPr>
      <w:widowControl/>
      <w:spacing w:after="120"/>
      <w:ind w:left="360"/>
      <w:jc w:val="left"/>
    </w:pPr>
    <w:rPr>
      <w:sz w:val="24"/>
    </w:rPr>
  </w:style>
  <w:style w:type="paragraph" w:styleId="BalloonText">
    <w:name w:val="Balloon Text"/>
    <w:basedOn w:val="Normal"/>
    <w:link w:val="BalloonTextChar"/>
    <w:uiPriority w:val="99"/>
    <w:semiHidden/>
    <w:rsid w:val="00CE4BE0"/>
    <w:rPr>
      <w:rFonts w:ascii="Tahoma" w:hAnsi="Tahoma" w:cs="Tahoma"/>
      <w:sz w:val="16"/>
      <w:szCs w:val="16"/>
    </w:rPr>
  </w:style>
  <w:style w:type="character" w:customStyle="1" w:styleId="BalloonTextChar">
    <w:name w:val="Balloon Text Char"/>
    <w:link w:val="BalloonText"/>
    <w:uiPriority w:val="99"/>
    <w:semiHidden/>
    <w:rsid w:val="005D097E"/>
    <w:rPr>
      <w:rFonts w:ascii="Tahoma" w:hAnsi="Tahoma" w:cs="Tahoma"/>
      <w:sz w:val="16"/>
      <w:szCs w:val="16"/>
      <w:lang w:val="en-US" w:eastAsia="en-US"/>
    </w:rPr>
  </w:style>
  <w:style w:type="paragraph" w:customStyle="1" w:styleId="msonospacing0">
    <w:name w:val="msonospacing"/>
    <w:rsid w:val="0048309C"/>
    <w:rPr>
      <w:sz w:val="24"/>
      <w:szCs w:val="24"/>
    </w:rPr>
  </w:style>
  <w:style w:type="paragraph" w:customStyle="1" w:styleId="msolistparagraph0">
    <w:name w:val="msolistparagraph"/>
    <w:basedOn w:val="Normal"/>
    <w:rsid w:val="0048309C"/>
    <w:pPr>
      <w:widowControl/>
      <w:spacing w:after="200" w:line="276" w:lineRule="auto"/>
      <w:ind w:left="720"/>
      <w:jc w:val="left"/>
    </w:pPr>
    <w:rPr>
      <w:rFonts w:ascii="Calibri" w:eastAsia="Calibri" w:hAnsi="Calibri"/>
      <w:sz w:val="22"/>
      <w:szCs w:val="22"/>
    </w:rPr>
  </w:style>
  <w:style w:type="character" w:customStyle="1" w:styleId="longtext">
    <w:name w:val="long_text"/>
    <w:basedOn w:val="DefaultParagraphFont"/>
    <w:rsid w:val="0048309C"/>
  </w:style>
  <w:style w:type="character" w:customStyle="1" w:styleId="shorttext">
    <w:name w:val="short_text"/>
    <w:basedOn w:val="DefaultParagraphFont"/>
    <w:rsid w:val="0048309C"/>
  </w:style>
  <w:style w:type="character" w:customStyle="1" w:styleId="cgselectable">
    <w:name w:val="cgselectable"/>
    <w:rsid w:val="0048309C"/>
  </w:style>
  <w:style w:type="character" w:styleId="Emphasis">
    <w:name w:val="Emphasis"/>
    <w:uiPriority w:val="20"/>
    <w:qFormat/>
    <w:rsid w:val="0048309C"/>
    <w:rPr>
      <w:i/>
      <w:iCs/>
    </w:rPr>
  </w:style>
  <w:style w:type="character" w:customStyle="1" w:styleId="PlainTextChar">
    <w:name w:val="Plain Text Char"/>
    <w:link w:val="PlainText"/>
    <w:rsid w:val="0048309C"/>
    <w:rPr>
      <w:rFonts w:eastAsia="SimSun"/>
      <w:kern w:val="2"/>
      <w:lang w:val="en-US" w:eastAsia="zh-CN"/>
    </w:rPr>
  </w:style>
  <w:style w:type="paragraph" w:styleId="PlainText">
    <w:name w:val="Plain Text"/>
    <w:basedOn w:val="Normal"/>
    <w:link w:val="PlainTextChar"/>
    <w:unhideWhenUsed/>
    <w:rsid w:val="00464DED"/>
    <w:pPr>
      <w:widowControl/>
      <w:jc w:val="left"/>
    </w:pPr>
    <w:rPr>
      <w:rFonts w:eastAsia="SimSun"/>
      <w:kern w:val="2"/>
      <w:szCs w:val="20"/>
      <w:lang w:eastAsia="zh-CN"/>
    </w:rPr>
  </w:style>
  <w:style w:type="paragraph" w:styleId="CommentSubject">
    <w:name w:val="annotation subject"/>
    <w:basedOn w:val="CommentText"/>
    <w:next w:val="CommentText"/>
    <w:link w:val="CommentSubjectChar"/>
    <w:uiPriority w:val="99"/>
    <w:rsid w:val="0048309C"/>
    <w:pPr>
      <w:widowControl w:val="0"/>
    </w:pPr>
    <w:rPr>
      <w:rFonts w:eastAsia="SimSun"/>
      <w:b/>
      <w:bCs/>
      <w:kern w:val="2"/>
      <w:lang w:eastAsia="zh-CN"/>
    </w:rPr>
  </w:style>
  <w:style w:type="character" w:customStyle="1" w:styleId="CommentSubjectChar">
    <w:name w:val="Comment Subject Char"/>
    <w:link w:val="CommentSubject"/>
    <w:uiPriority w:val="99"/>
    <w:rsid w:val="005D097E"/>
    <w:rPr>
      <w:rFonts w:eastAsia="SimSun"/>
      <w:b/>
      <w:bCs/>
      <w:kern w:val="2"/>
      <w:lang w:val="en-US" w:eastAsia="zh-CN"/>
    </w:rPr>
  </w:style>
  <w:style w:type="paragraph" w:styleId="BodyText">
    <w:name w:val="Body Text"/>
    <w:basedOn w:val="Normal"/>
    <w:rsid w:val="00CD059D"/>
    <w:pPr>
      <w:spacing w:after="120"/>
    </w:pPr>
  </w:style>
  <w:style w:type="paragraph" w:styleId="BodyText2">
    <w:name w:val="Body Text 2"/>
    <w:basedOn w:val="Normal"/>
    <w:rsid w:val="00CD059D"/>
    <w:pPr>
      <w:spacing w:after="120" w:line="480" w:lineRule="auto"/>
    </w:pPr>
  </w:style>
  <w:style w:type="paragraph" w:styleId="BodyTextIndent2">
    <w:name w:val="Body Text Indent 2"/>
    <w:basedOn w:val="Normal"/>
    <w:rsid w:val="00CD059D"/>
    <w:pPr>
      <w:spacing w:after="120" w:line="480" w:lineRule="auto"/>
      <w:ind w:left="283"/>
    </w:pPr>
  </w:style>
  <w:style w:type="paragraph" w:styleId="BodyTextIndent3">
    <w:name w:val="Body Text Indent 3"/>
    <w:basedOn w:val="Normal"/>
    <w:link w:val="BodyTextIndent3Char"/>
    <w:rsid w:val="00CD059D"/>
    <w:pPr>
      <w:spacing w:after="120"/>
      <w:ind w:left="283"/>
    </w:pPr>
    <w:rPr>
      <w:sz w:val="16"/>
      <w:szCs w:val="16"/>
    </w:rPr>
  </w:style>
  <w:style w:type="character" w:customStyle="1" w:styleId="BodyTextIndent3Char">
    <w:name w:val="Body Text Indent 3 Char"/>
    <w:link w:val="BodyTextIndent3"/>
    <w:rsid w:val="00125AB4"/>
    <w:rPr>
      <w:sz w:val="16"/>
      <w:szCs w:val="16"/>
      <w:lang w:val="en-US" w:eastAsia="en-US" w:bidi="ar-SA"/>
    </w:rPr>
  </w:style>
  <w:style w:type="table" w:styleId="TableGrid">
    <w:name w:val="Table Grid"/>
    <w:basedOn w:val="TableNormal"/>
    <w:uiPriority w:val="59"/>
    <w:rsid w:val="005C3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C43131"/>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4"/>
      <w:lang w:val="en-GB"/>
    </w:rPr>
  </w:style>
  <w:style w:type="paragraph" w:styleId="NormalWeb">
    <w:name w:val="Normal (Web)"/>
    <w:aliases w:val="Normal (Web) Char"/>
    <w:basedOn w:val="Normal"/>
    <w:link w:val="NormalWebChar1"/>
    <w:uiPriority w:val="99"/>
    <w:rsid w:val="00A727AD"/>
    <w:pPr>
      <w:widowControl/>
      <w:spacing w:before="100" w:beforeAutospacing="1" w:after="100" w:afterAutospacing="1"/>
      <w:jc w:val="left"/>
    </w:pPr>
    <w:rPr>
      <w:sz w:val="24"/>
      <w:lang w:val="en-GB"/>
    </w:rPr>
  </w:style>
  <w:style w:type="character" w:customStyle="1" w:styleId="NormalWebChar1">
    <w:name w:val="Normal (Web) Char1"/>
    <w:aliases w:val="Normal (Web) Char Char"/>
    <w:link w:val="NormalWeb"/>
    <w:rsid w:val="00464DED"/>
    <w:rPr>
      <w:sz w:val="24"/>
      <w:szCs w:val="24"/>
      <w:lang w:val="en-GB" w:eastAsia="en-US" w:bidi="ar-SA"/>
    </w:rPr>
  </w:style>
  <w:style w:type="character" w:customStyle="1" w:styleId="categories">
    <w:name w:val="categories"/>
    <w:basedOn w:val="DefaultParagraphFont"/>
    <w:rsid w:val="00A727AD"/>
  </w:style>
  <w:style w:type="character" w:customStyle="1" w:styleId="tags">
    <w:name w:val="tags"/>
    <w:basedOn w:val="DefaultParagraphFont"/>
    <w:rsid w:val="00A727AD"/>
  </w:style>
  <w:style w:type="character" w:styleId="Strong">
    <w:name w:val="Strong"/>
    <w:qFormat/>
    <w:rsid w:val="00A727AD"/>
    <w:rPr>
      <w:b/>
      <w:bCs/>
    </w:rPr>
  </w:style>
  <w:style w:type="paragraph" w:customStyle="1" w:styleId="bullet1">
    <w:name w:val="bullet1"/>
    <w:basedOn w:val="Normal"/>
    <w:autoRedefine/>
    <w:rsid w:val="00A727AD"/>
    <w:pPr>
      <w:widowControl/>
      <w:spacing w:line="480" w:lineRule="auto"/>
      <w:ind w:left="426" w:hanging="360"/>
    </w:pPr>
    <w:rPr>
      <w:sz w:val="24"/>
      <w:lang w:val="sv-SE"/>
    </w:rPr>
  </w:style>
  <w:style w:type="paragraph" w:customStyle="1" w:styleId="HlmJudul">
    <w:name w:val="Hlm Judul"/>
    <w:basedOn w:val="Normal"/>
    <w:rsid w:val="00A727AD"/>
    <w:pPr>
      <w:widowControl/>
      <w:ind w:firstLine="720"/>
      <w:jc w:val="center"/>
    </w:pPr>
    <w:rPr>
      <w:b/>
      <w:bCs/>
      <w:sz w:val="28"/>
      <w:szCs w:val="20"/>
      <w:lang w:val="en-GB"/>
    </w:rPr>
  </w:style>
  <w:style w:type="character" w:customStyle="1" w:styleId="a">
    <w:name w:val="a"/>
    <w:basedOn w:val="DefaultParagraphFont"/>
    <w:rsid w:val="00A727AD"/>
  </w:style>
  <w:style w:type="character" w:customStyle="1" w:styleId="l7">
    <w:name w:val="l7"/>
    <w:basedOn w:val="DefaultParagraphFont"/>
    <w:rsid w:val="00A727AD"/>
  </w:style>
  <w:style w:type="character" w:customStyle="1" w:styleId="l9">
    <w:name w:val="l9"/>
    <w:basedOn w:val="DefaultParagraphFont"/>
    <w:rsid w:val="00A727AD"/>
  </w:style>
  <w:style w:type="character" w:customStyle="1" w:styleId="l8">
    <w:name w:val="l8"/>
    <w:basedOn w:val="DefaultParagraphFont"/>
    <w:rsid w:val="00A727AD"/>
  </w:style>
  <w:style w:type="character" w:customStyle="1" w:styleId="l10">
    <w:name w:val="l10"/>
    <w:basedOn w:val="DefaultParagraphFont"/>
    <w:rsid w:val="00A727AD"/>
  </w:style>
  <w:style w:type="character" w:customStyle="1" w:styleId="l6">
    <w:name w:val="l6"/>
    <w:basedOn w:val="DefaultParagraphFont"/>
    <w:rsid w:val="00A727AD"/>
  </w:style>
  <w:style w:type="character" w:customStyle="1" w:styleId="l11">
    <w:name w:val="l11"/>
    <w:basedOn w:val="DefaultParagraphFont"/>
    <w:rsid w:val="00A727AD"/>
  </w:style>
  <w:style w:type="character" w:customStyle="1" w:styleId="italic1">
    <w:name w:val="italic1"/>
    <w:rsid w:val="00A727AD"/>
    <w:rPr>
      <w:i/>
      <w:iCs/>
    </w:rPr>
  </w:style>
  <w:style w:type="character" w:customStyle="1" w:styleId="bold1">
    <w:name w:val="bold1"/>
    <w:rsid w:val="00A727AD"/>
    <w:rPr>
      <w:b/>
      <w:bCs/>
    </w:rPr>
  </w:style>
  <w:style w:type="paragraph" w:styleId="ListParagraph">
    <w:name w:val="List Paragraph"/>
    <w:basedOn w:val="Normal"/>
    <w:link w:val="ListParagraphChar"/>
    <w:uiPriority w:val="34"/>
    <w:qFormat/>
    <w:rsid w:val="00E079CE"/>
    <w:pPr>
      <w:widowControl/>
      <w:spacing w:after="200" w:line="360" w:lineRule="auto"/>
      <w:ind w:left="720"/>
      <w:contextualSpacing/>
    </w:pPr>
    <w:rPr>
      <w:rFonts w:ascii="Calibri" w:eastAsia="Calibri" w:hAnsi="Calibri"/>
      <w:noProof/>
      <w:sz w:val="22"/>
      <w:szCs w:val="22"/>
    </w:rPr>
  </w:style>
  <w:style w:type="character" w:customStyle="1" w:styleId="ListParagraphChar">
    <w:name w:val="List Paragraph Char"/>
    <w:link w:val="ListParagraph"/>
    <w:rsid w:val="00A3334D"/>
    <w:rPr>
      <w:rFonts w:ascii="Calibri" w:eastAsia="Calibri" w:hAnsi="Calibri"/>
      <w:noProof/>
      <w:sz w:val="22"/>
      <w:szCs w:val="22"/>
      <w:lang w:val="en-US" w:eastAsia="en-US" w:bidi="ar-SA"/>
    </w:rPr>
  </w:style>
  <w:style w:type="character" w:customStyle="1" w:styleId="citation">
    <w:name w:val="citation"/>
    <w:basedOn w:val="DefaultParagraphFont"/>
    <w:rsid w:val="00E079CE"/>
  </w:style>
  <w:style w:type="paragraph" w:customStyle="1" w:styleId="VenturaCover1">
    <w:name w:val="Ventura Cover1"/>
    <w:basedOn w:val="Normal"/>
    <w:rsid w:val="0084540C"/>
    <w:pPr>
      <w:spacing w:before="120"/>
      <w:contextualSpacing/>
      <w:jc w:val="center"/>
    </w:pPr>
  </w:style>
  <w:style w:type="paragraph" w:customStyle="1" w:styleId="VenturaCover2">
    <w:name w:val="Ventura Cover2"/>
    <w:basedOn w:val="VenturaCover1"/>
    <w:rsid w:val="00F155A9"/>
    <w:pPr>
      <w:spacing w:after="120"/>
    </w:pPr>
    <w:rPr>
      <w:color w:val="FF0000"/>
      <w:spacing w:val="40"/>
      <w:sz w:val="56"/>
    </w:rPr>
  </w:style>
  <w:style w:type="paragraph" w:customStyle="1" w:styleId="StyleVentura-KeywordLatinBold">
    <w:name w:val="Style Ventura-Keyword + (Latin) Bold"/>
    <w:basedOn w:val="Ventura-Keyword"/>
    <w:link w:val="StyleVentura-KeywordLatinBoldChar"/>
    <w:rsid w:val="009A40AB"/>
    <w:pPr>
      <w:tabs>
        <w:tab w:val="left" w:pos="1021"/>
      </w:tabs>
      <w:ind w:left="1021" w:hanging="1021"/>
    </w:pPr>
    <w:rPr>
      <w:b/>
    </w:rPr>
  </w:style>
  <w:style w:type="character" w:customStyle="1" w:styleId="StyleVentura-KeywordLatinBoldChar">
    <w:name w:val="Style Ventura-Keyword + (Latin) Bold Char"/>
    <w:link w:val="StyleVentura-KeywordLatinBold"/>
    <w:rsid w:val="009A40AB"/>
    <w:rPr>
      <w:rFonts w:ascii="Book Antiqua" w:hAnsi="Book Antiqua"/>
      <w:b/>
      <w:i/>
      <w:spacing w:val="2"/>
      <w:sz w:val="18"/>
      <w:szCs w:val="24"/>
      <w:lang w:val="en-US" w:eastAsia="en-US" w:bidi="ar-SA"/>
    </w:rPr>
  </w:style>
  <w:style w:type="paragraph" w:customStyle="1" w:styleId="StyleVentura-ReferenceItalic">
    <w:name w:val="Style Ventura-Reference + Italic"/>
    <w:basedOn w:val="Ventura-Reference"/>
    <w:link w:val="StyleVentura-ReferenceItalicChar"/>
    <w:rsid w:val="00BD53F9"/>
    <w:rPr>
      <w:i/>
      <w:iCs/>
    </w:rPr>
  </w:style>
  <w:style w:type="character" w:customStyle="1" w:styleId="StyleVentura-ReferenceItalicChar">
    <w:name w:val="Style Ventura-Reference + Italic Char"/>
    <w:link w:val="StyleVentura-ReferenceItalic"/>
    <w:rsid w:val="00BD53F9"/>
    <w:rPr>
      <w:rFonts w:ascii="Book Antiqua" w:hAnsi="Book Antiqua"/>
      <w:i/>
      <w:iCs/>
      <w:szCs w:val="24"/>
      <w:lang w:val="en-US" w:eastAsia="en-US" w:bidi="ar-SA"/>
    </w:rPr>
  </w:style>
  <w:style w:type="paragraph" w:customStyle="1" w:styleId="StyleVentura-KeywordNotItalic">
    <w:name w:val="Style Ventura-Keyword + Not Italic"/>
    <w:basedOn w:val="Ventura-Keyword"/>
    <w:rsid w:val="00E03BC6"/>
    <w:rPr>
      <w:iCs/>
    </w:rPr>
  </w:style>
  <w:style w:type="paragraph" w:customStyle="1" w:styleId="Default">
    <w:name w:val="Default"/>
    <w:rsid w:val="00DC6EDB"/>
    <w:pPr>
      <w:autoSpaceDE w:val="0"/>
      <w:autoSpaceDN w:val="0"/>
      <w:adjustRightInd w:val="0"/>
    </w:pPr>
    <w:rPr>
      <w:rFonts w:ascii="Arial" w:hAnsi="Arial" w:cs="Arial"/>
      <w:color w:val="000000"/>
      <w:sz w:val="24"/>
      <w:szCs w:val="24"/>
    </w:rPr>
  </w:style>
  <w:style w:type="character" w:customStyle="1" w:styleId="apple-converted-space">
    <w:name w:val="apple-converted-space"/>
    <w:rsid w:val="00DC6EDB"/>
  </w:style>
  <w:style w:type="character" w:customStyle="1" w:styleId="CharChar14">
    <w:name w:val="Char Char14"/>
    <w:rsid w:val="00125AB4"/>
    <w:rPr>
      <w:rFonts w:ascii="Cambria" w:eastAsia="Times New Roman" w:hAnsi="Cambria" w:cs="Times New Roman"/>
      <w:b/>
      <w:bCs/>
      <w:i/>
      <w:iCs/>
      <w:sz w:val="28"/>
      <w:szCs w:val="28"/>
    </w:rPr>
  </w:style>
  <w:style w:type="character" w:customStyle="1" w:styleId="CharChar11">
    <w:name w:val="Char Char11"/>
    <w:semiHidden/>
    <w:rsid w:val="00125AB4"/>
    <w:rPr>
      <w:rFonts w:ascii="Calibri" w:eastAsia="Times New Roman" w:hAnsi="Calibri" w:cs="Times New Roman"/>
      <w:b/>
      <w:bCs/>
      <w:i/>
      <w:iCs/>
      <w:sz w:val="26"/>
      <w:szCs w:val="26"/>
    </w:rPr>
  </w:style>
  <w:style w:type="paragraph" w:styleId="Subtitle">
    <w:name w:val="Subtitle"/>
    <w:basedOn w:val="Normal"/>
    <w:link w:val="SubtitleChar"/>
    <w:qFormat/>
    <w:rsid w:val="00125AB4"/>
    <w:pPr>
      <w:widowControl/>
      <w:tabs>
        <w:tab w:val="num" w:pos="360"/>
      </w:tabs>
      <w:spacing w:line="480" w:lineRule="auto"/>
      <w:ind w:left="360" w:hanging="360"/>
      <w:jc w:val="center"/>
    </w:pPr>
    <w:rPr>
      <w:b/>
      <w:sz w:val="24"/>
      <w:szCs w:val="20"/>
      <w:lang w:val="id-ID"/>
    </w:rPr>
  </w:style>
  <w:style w:type="character" w:customStyle="1" w:styleId="SubtitleChar">
    <w:name w:val="Subtitle Char"/>
    <w:link w:val="Subtitle"/>
    <w:rsid w:val="00125AB4"/>
    <w:rPr>
      <w:b/>
      <w:sz w:val="24"/>
      <w:lang w:val="id-ID" w:eastAsia="en-US" w:bidi="ar-SA"/>
    </w:rPr>
  </w:style>
  <w:style w:type="paragraph" w:customStyle="1" w:styleId="Title1">
    <w:name w:val="Title1"/>
    <w:basedOn w:val="Normal"/>
    <w:rsid w:val="00125AB4"/>
    <w:pPr>
      <w:widowControl/>
      <w:spacing w:before="100" w:beforeAutospacing="1" w:after="100" w:afterAutospacing="1"/>
      <w:jc w:val="center"/>
    </w:pPr>
    <w:rPr>
      <w:sz w:val="24"/>
    </w:rPr>
  </w:style>
  <w:style w:type="character" w:customStyle="1" w:styleId="note">
    <w:name w:val="note"/>
    <w:basedOn w:val="DefaultParagraphFont"/>
    <w:rsid w:val="00125AB4"/>
  </w:style>
  <w:style w:type="character" w:customStyle="1" w:styleId="fullpost">
    <w:name w:val="fullpost"/>
    <w:basedOn w:val="DefaultParagraphFont"/>
    <w:rsid w:val="00125AB4"/>
  </w:style>
  <w:style w:type="character" w:customStyle="1" w:styleId="atn">
    <w:name w:val="atn"/>
    <w:basedOn w:val="DefaultParagraphFont"/>
    <w:rsid w:val="00125AB4"/>
  </w:style>
  <w:style w:type="character" w:customStyle="1" w:styleId="PersenCharChar">
    <w:name w:val="Persen Char Char"/>
    <w:rsid w:val="00464DED"/>
    <w:rPr>
      <w:rFonts w:eastAsia="Times New Roman"/>
    </w:rPr>
  </w:style>
  <w:style w:type="paragraph" w:styleId="HTMLPreformatted">
    <w:name w:val="HTML Preformatted"/>
    <w:basedOn w:val="Normal"/>
    <w:rsid w:val="00464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styleId="HTMLTypewriter">
    <w:name w:val="HTML Typewriter"/>
    <w:rsid w:val="00464DED"/>
    <w:rPr>
      <w:rFonts w:ascii="Courier New" w:eastAsia="Times New Roman" w:hAnsi="Courier New" w:cs="Courier New"/>
      <w:sz w:val="20"/>
      <w:szCs w:val="20"/>
    </w:rPr>
  </w:style>
  <w:style w:type="character" w:customStyle="1" w:styleId="CharChar16">
    <w:name w:val="Char Char16"/>
    <w:rsid w:val="00464DED"/>
    <w:rPr>
      <w:rFonts w:ascii="Times New Roman" w:eastAsia="Times New Roman" w:hAnsi="Times New Roman" w:cs="Times New Roman"/>
      <w:b/>
      <w:sz w:val="24"/>
      <w:szCs w:val="24"/>
      <w:lang w:val="sv-SE"/>
    </w:rPr>
  </w:style>
  <w:style w:type="paragraph" w:styleId="NoSpacing">
    <w:name w:val="No Spacing"/>
    <w:link w:val="NoSpacingChar"/>
    <w:uiPriority w:val="1"/>
    <w:qFormat/>
    <w:rsid w:val="00464DED"/>
    <w:rPr>
      <w:sz w:val="24"/>
      <w:szCs w:val="24"/>
    </w:rPr>
  </w:style>
  <w:style w:type="character" w:customStyle="1" w:styleId="NoSpacingChar">
    <w:name w:val="No Spacing Char"/>
    <w:link w:val="NoSpacing"/>
    <w:rsid w:val="007D3A0B"/>
    <w:rPr>
      <w:sz w:val="24"/>
      <w:szCs w:val="24"/>
      <w:lang w:val="en-US" w:eastAsia="en-US" w:bidi="ar-SA"/>
    </w:rPr>
  </w:style>
  <w:style w:type="paragraph" w:customStyle="1" w:styleId="naon">
    <w:name w:val="naon"/>
    <w:basedOn w:val="PlainText"/>
    <w:rsid w:val="00464DED"/>
  </w:style>
  <w:style w:type="character" w:customStyle="1" w:styleId="google-src-text">
    <w:name w:val="google-src-text"/>
    <w:basedOn w:val="DefaultParagraphFont"/>
    <w:rsid w:val="00464DED"/>
  </w:style>
  <w:style w:type="character" w:customStyle="1" w:styleId="apple-style-span">
    <w:name w:val="apple-style-span"/>
    <w:rsid w:val="00464DED"/>
    <w:rPr>
      <w:rFonts w:cs="Times New Roman"/>
    </w:rPr>
  </w:style>
  <w:style w:type="paragraph" w:styleId="BodyText3">
    <w:name w:val="Body Text 3"/>
    <w:basedOn w:val="Normal"/>
    <w:rsid w:val="00464DED"/>
    <w:pPr>
      <w:widowControl/>
      <w:spacing w:after="120" w:line="276" w:lineRule="auto"/>
      <w:jc w:val="left"/>
    </w:pPr>
    <w:rPr>
      <w:rFonts w:eastAsia="SimSun"/>
      <w:sz w:val="16"/>
      <w:szCs w:val="16"/>
    </w:rPr>
  </w:style>
  <w:style w:type="character" w:customStyle="1" w:styleId="NormalWebCharCharChar">
    <w:name w:val="Normal (Web) Char Char Char"/>
    <w:rsid w:val="00464DED"/>
    <w:rPr>
      <w:sz w:val="24"/>
      <w:szCs w:val="24"/>
      <w:lang w:val="en-US" w:eastAsia="en-US" w:bidi="ar-SA"/>
    </w:rPr>
  </w:style>
  <w:style w:type="character" w:styleId="PlaceholderText">
    <w:name w:val="Placeholder Text"/>
    <w:semiHidden/>
    <w:rsid w:val="00464DED"/>
    <w:rPr>
      <w:color w:val="808080"/>
    </w:rPr>
  </w:style>
  <w:style w:type="character" w:customStyle="1" w:styleId="gen">
    <w:name w:val="gen"/>
    <w:basedOn w:val="DefaultParagraphFont"/>
    <w:rsid w:val="00464DED"/>
  </w:style>
  <w:style w:type="character" w:customStyle="1" w:styleId="titleauthoretc">
    <w:name w:val="titleauthoretc"/>
    <w:rsid w:val="00464DED"/>
  </w:style>
  <w:style w:type="character" w:customStyle="1" w:styleId="ow06g">
    <w:name w:val="ow06g"/>
    <w:rsid w:val="00BB12EF"/>
  </w:style>
  <w:style w:type="character" w:styleId="HTMLCite">
    <w:name w:val="HTML Cite"/>
    <w:uiPriority w:val="99"/>
    <w:unhideWhenUsed/>
    <w:rsid w:val="009B43F6"/>
    <w:rPr>
      <w:i/>
      <w:iCs/>
    </w:rPr>
  </w:style>
  <w:style w:type="character" w:customStyle="1" w:styleId="fn">
    <w:name w:val="fn"/>
    <w:rsid w:val="009B43F6"/>
  </w:style>
  <w:style w:type="character" w:customStyle="1" w:styleId="Subtitle1">
    <w:name w:val="Subtitle1"/>
    <w:rsid w:val="009B43F6"/>
  </w:style>
  <w:style w:type="character" w:customStyle="1" w:styleId="bookauthor">
    <w:name w:val="bookauthor"/>
    <w:rsid w:val="009B43F6"/>
  </w:style>
  <w:style w:type="character" w:customStyle="1" w:styleId="booktitle">
    <w:name w:val="booktitle"/>
    <w:rsid w:val="009B43F6"/>
  </w:style>
  <w:style w:type="character" w:customStyle="1" w:styleId="blackclass">
    <w:name w:val="blackclass"/>
    <w:rsid w:val="009B43F6"/>
  </w:style>
  <w:style w:type="character" w:customStyle="1" w:styleId="blackclass1">
    <w:name w:val="blackclass1"/>
    <w:rsid w:val="009B43F6"/>
    <w:rPr>
      <w:color w:val="000000"/>
    </w:rPr>
  </w:style>
  <w:style w:type="character" w:customStyle="1" w:styleId="phraseanchor">
    <w:name w:val="phrase_anchor"/>
    <w:basedOn w:val="DefaultParagraphFont"/>
    <w:rsid w:val="009B43F6"/>
  </w:style>
  <w:style w:type="character" w:styleId="SubtleEmphasis">
    <w:name w:val="Subtle Emphasis"/>
    <w:qFormat/>
    <w:rsid w:val="009B43F6"/>
    <w:rPr>
      <w:i/>
      <w:iCs/>
      <w:color w:val="808080"/>
    </w:rPr>
  </w:style>
  <w:style w:type="character" w:customStyle="1" w:styleId="notranslate">
    <w:name w:val="notranslate"/>
    <w:rsid w:val="009B43F6"/>
  </w:style>
  <w:style w:type="paragraph" w:styleId="FootnoteText">
    <w:name w:val="footnote text"/>
    <w:basedOn w:val="Normal"/>
    <w:link w:val="FootnoteTextChar"/>
    <w:uiPriority w:val="99"/>
    <w:rsid w:val="00F55443"/>
    <w:pPr>
      <w:widowControl/>
      <w:jc w:val="left"/>
    </w:pPr>
    <w:rPr>
      <w:szCs w:val="20"/>
    </w:rPr>
  </w:style>
  <w:style w:type="character" w:customStyle="1" w:styleId="FootnoteTextChar">
    <w:name w:val="Footnote Text Char"/>
    <w:link w:val="FootnoteText"/>
    <w:uiPriority w:val="99"/>
    <w:rsid w:val="005D097E"/>
    <w:rPr>
      <w:lang w:val="en-US" w:eastAsia="en-US"/>
    </w:rPr>
  </w:style>
  <w:style w:type="character" w:customStyle="1" w:styleId="addmd">
    <w:name w:val="addmd"/>
    <w:basedOn w:val="DefaultParagraphFont"/>
    <w:rsid w:val="00F55443"/>
  </w:style>
  <w:style w:type="character" w:customStyle="1" w:styleId="WW8Num2z0">
    <w:name w:val="WW8Num2z0"/>
    <w:rsid w:val="00F55443"/>
    <w:rPr>
      <w:rFonts w:ascii="Courier New" w:hAnsi="Courier New" w:cs="Courier New"/>
    </w:rPr>
  </w:style>
  <w:style w:type="character" w:customStyle="1" w:styleId="WW8Num2z2">
    <w:name w:val="WW8Num2z2"/>
    <w:rsid w:val="00F55443"/>
    <w:rPr>
      <w:rFonts w:ascii="Wingdings" w:hAnsi="Wingdings"/>
    </w:rPr>
  </w:style>
  <w:style w:type="character" w:customStyle="1" w:styleId="WW8Num2z3">
    <w:name w:val="WW8Num2z3"/>
    <w:rsid w:val="00F55443"/>
    <w:rPr>
      <w:rFonts w:ascii="Symbol" w:hAnsi="Symbol"/>
    </w:rPr>
  </w:style>
  <w:style w:type="character" w:customStyle="1" w:styleId="WW8Num5z0">
    <w:name w:val="WW8Num5z0"/>
    <w:rsid w:val="00F55443"/>
    <w:rPr>
      <w:rFonts w:ascii="Wingdings" w:hAnsi="Wingdings"/>
    </w:rPr>
  </w:style>
  <w:style w:type="paragraph" w:customStyle="1" w:styleId="Heading">
    <w:name w:val="Heading"/>
    <w:basedOn w:val="Normal"/>
    <w:next w:val="BodyText"/>
    <w:rsid w:val="00F55443"/>
    <w:pPr>
      <w:keepNext/>
      <w:widowControl/>
      <w:suppressAutoHyphens/>
      <w:spacing w:before="240" w:after="120"/>
      <w:jc w:val="left"/>
    </w:pPr>
    <w:rPr>
      <w:rFonts w:ascii="Arial" w:eastAsia="Lucida Sans Unicode" w:hAnsi="Arial" w:cs="Tahoma"/>
      <w:sz w:val="28"/>
      <w:szCs w:val="28"/>
      <w:lang w:eastAsia="ar-SA"/>
    </w:rPr>
  </w:style>
  <w:style w:type="paragraph" w:styleId="List">
    <w:name w:val="List"/>
    <w:basedOn w:val="BodyText"/>
    <w:rsid w:val="00F55443"/>
    <w:pPr>
      <w:widowControl/>
      <w:suppressAutoHyphens/>
      <w:jc w:val="left"/>
    </w:pPr>
    <w:rPr>
      <w:rFonts w:cs="Tahoma"/>
      <w:sz w:val="24"/>
      <w:lang w:eastAsia="ar-SA"/>
    </w:rPr>
  </w:style>
  <w:style w:type="paragraph" w:styleId="Caption">
    <w:name w:val="caption"/>
    <w:basedOn w:val="Normal"/>
    <w:qFormat/>
    <w:rsid w:val="00F55443"/>
    <w:pPr>
      <w:widowControl/>
      <w:suppressLineNumbers/>
      <w:suppressAutoHyphens/>
      <w:spacing w:before="120" w:after="120"/>
      <w:jc w:val="left"/>
    </w:pPr>
    <w:rPr>
      <w:rFonts w:cs="Tahoma"/>
      <w:i/>
      <w:iCs/>
      <w:sz w:val="24"/>
      <w:lang w:eastAsia="ar-SA"/>
    </w:rPr>
  </w:style>
  <w:style w:type="paragraph" w:customStyle="1" w:styleId="Index">
    <w:name w:val="Index"/>
    <w:basedOn w:val="Normal"/>
    <w:rsid w:val="00F55443"/>
    <w:pPr>
      <w:widowControl/>
      <w:suppressLineNumbers/>
      <w:suppressAutoHyphens/>
      <w:jc w:val="left"/>
    </w:pPr>
    <w:rPr>
      <w:rFonts w:cs="Tahoma"/>
      <w:sz w:val="24"/>
      <w:lang w:eastAsia="ar-SA"/>
    </w:rPr>
  </w:style>
  <w:style w:type="paragraph" w:customStyle="1" w:styleId="TableContents">
    <w:name w:val="Table Contents"/>
    <w:basedOn w:val="Normal"/>
    <w:rsid w:val="00F55443"/>
    <w:pPr>
      <w:widowControl/>
      <w:suppressLineNumbers/>
      <w:suppressAutoHyphens/>
      <w:jc w:val="left"/>
    </w:pPr>
    <w:rPr>
      <w:sz w:val="24"/>
      <w:lang w:eastAsia="ar-SA"/>
    </w:rPr>
  </w:style>
  <w:style w:type="paragraph" w:customStyle="1" w:styleId="TableHeading">
    <w:name w:val="Table Heading"/>
    <w:basedOn w:val="TableContents"/>
    <w:rsid w:val="00F55443"/>
  </w:style>
  <w:style w:type="paragraph" w:customStyle="1" w:styleId="Framecontents">
    <w:name w:val="Frame contents"/>
    <w:basedOn w:val="BodyText"/>
    <w:rsid w:val="00F55443"/>
    <w:pPr>
      <w:widowControl/>
      <w:suppressAutoHyphens/>
      <w:jc w:val="left"/>
    </w:pPr>
    <w:rPr>
      <w:sz w:val="24"/>
      <w:lang w:eastAsia="ar-SA"/>
    </w:rPr>
  </w:style>
  <w:style w:type="paragraph" w:styleId="TOC1">
    <w:name w:val="toc 1"/>
    <w:basedOn w:val="Normal"/>
    <w:next w:val="Normal"/>
    <w:autoRedefine/>
    <w:unhideWhenUsed/>
    <w:qFormat/>
    <w:rsid w:val="007D3A0B"/>
    <w:pPr>
      <w:widowControl/>
      <w:spacing w:after="100"/>
      <w:jc w:val="left"/>
    </w:pPr>
    <w:rPr>
      <w:rFonts w:cs="Arial"/>
      <w:sz w:val="24"/>
      <w:szCs w:val="22"/>
      <w:u w:val="words" w:color="FFFFFF"/>
      <w:lang w:eastAsia="ja-JP"/>
    </w:rPr>
  </w:style>
  <w:style w:type="paragraph" w:styleId="TOC2">
    <w:name w:val="toc 2"/>
    <w:basedOn w:val="Normal"/>
    <w:next w:val="Normal"/>
    <w:autoRedefine/>
    <w:semiHidden/>
    <w:unhideWhenUsed/>
    <w:qFormat/>
    <w:rsid w:val="007D3A0B"/>
    <w:pPr>
      <w:widowControl/>
      <w:spacing w:after="100"/>
      <w:ind w:left="220"/>
      <w:jc w:val="left"/>
    </w:pPr>
    <w:rPr>
      <w:rFonts w:cs="Arial"/>
      <w:sz w:val="24"/>
      <w:szCs w:val="22"/>
      <w:u w:val="words" w:color="FFFFFF"/>
      <w:lang w:eastAsia="ja-JP"/>
    </w:rPr>
  </w:style>
  <w:style w:type="paragraph" w:styleId="TOC3">
    <w:name w:val="toc 3"/>
    <w:basedOn w:val="Normal"/>
    <w:next w:val="Normal"/>
    <w:autoRedefine/>
    <w:semiHidden/>
    <w:unhideWhenUsed/>
    <w:qFormat/>
    <w:rsid w:val="007D3A0B"/>
    <w:pPr>
      <w:widowControl/>
      <w:spacing w:after="100"/>
      <w:ind w:left="440"/>
      <w:jc w:val="left"/>
    </w:pPr>
    <w:rPr>
      <w:rFonts w:cs="Arial"/>
      <w:sz w:val="24"/>
      <w:szCs w:val="22"/>
      <w:u w:val="words" w:color="FFFFFF"/>
      <w:lang w:eastAsia="ja-JP"/>
    </w:rPr>
  </w:style>
  <w:style w:type="paragraph" w:styleId="TOCHeading">
    <w:name w:val="TOC Heading"/>
    <w:basedOn w:val="Heading1"/>
    <w:next w:val="Normal"/>
    <w:qFormat/>
    <w:rsid w:val="007D3A0B"/>
    <w:pPr>
      <w:keepLines/>
      <w:widowControl/>
      <w:spacing w:before="100" w:beforeAutospacing="1" w:after="0"/>
      <w:ind w:left="274" w:hanging="274"/>
      <w:jc w:val="center"/>
      <w:outlineLvl w:val="9"/>
    </w:pPr>
    <w:rPr>
      <w:rFonts w:cs="Times New Roman"/>
      <w:color w:val="365F91"/>
      <w:kern w:val="0"/>
      <w:sz w:val="24"/>
      <w:szCs w:val="24"/>
      <w:lang w:eastAsia="ja-JP"/>
    </w:rPr>
  </w:style>
  <w:style w:type="paragraph" w:styleId="ListBullet">
    <w:name w:val="List Bullet"/>
    <w:basedOn w:val="Normal"/>
    <w:unhideWhenUsed/>
    <w:qFormat/>
    <w:rsid w:val="007D3A0B"/>
    <w:pPr>
      <w:widowControl/>
      <w:tabs>
        <w:tab w:val="num" w:pos="360"/>
      </w:tabs>
      <w:spacing w:after="120" w:line="276" w:lineRule="auto"/>
      <w:contextualSpacing/>
      <w:jc w:val="left"/>
    </w:pPr>
    <w:rPr>
      <w:rFonts w:ascii="Gill Sans MT" w:eastAsia="Gill Sans MT" w:hAnsi="Gill Sans MT"/>
      <w:color w:val="000000"/>
      <w:szCs w:val="20"/>
      <w:u w:color="FFFFFF"/>
      <w:lang w:eastAsia="ja-JP"/>
    </w:rPr>
  </w:style>
  <w:style w:type="paragraph" w:customStyle="1" w:styleId="Section">
    <w:name w:val="Section"/>
    <w:basedOn w:val="Normal"/>
    <w:next w:val="Normal"/>
    <w:link w:val="SectionChar"/>
    <w:qFormat/>
    <w:rsid w:val="007D3A0B"/>
    <w:pPr>
      <w:widowControl/>
      <w:spacing w:after="120"/>
      <w:contextualSpacing/>
      <w:jc w:val="left"/>
    </w:pPr>
    <w:rPr>
      <w:rFonts w:ascii="Bookman Old Style" w:eastAsia="Gill Sans MT" w:hAnsi="Bookman Old Style"/>
      <w:b/>
      <w:color w:val="9FB8CD"/>
      <w:sz w:val="24"/>
      <w:szCs w:val="20"/>
      <w:lang w:eastAsia="ja-JP"/>
    </w:rPr>
  </w:style>
  <w:style w:type="character" w:customStyle="1" w:styleId="SectionChar">
    <w:name w:val="Section Char"/>
    <w:link w:val="Section"/>
    <w:rsid w:val="007D3A0B"/>
    <w:rPr>
      <w:rFonts w:ascii="Bookman Old Style" w:eastAsia="Gill Sans MT" w:hAnsi="Bookman Old Style"/>
      <w:b/>
      <w:color w:val="9FB8CD"/>
      <w:sz w:val="24"/>
      <w:lang w:eastAsia="ja-JP" w:bidi="ar-SA"/>
    </w:rPr>
  </w:style>
  <w:style w:type="paragraph" w:customStyle="1" w:styleId="AddressText">
    <w:name w:val="Address Text"/>
    <w:basedOn w:val="NoSpacing"/>
    <w:qFormat/>
    <w:rsid w:val="007D3A0B"/>
    <w:pPr>
      <w:spacing w:before="200" w:line="276" w:lineRule="auto"/>
      <w:contextualSpacing/>
      <w:jc w:val="right"/>
    </w:pPr>
    <w:rPr>
      <w:rFonts w:ascii="Bookman Old Style" w:eastAsia="Gill Sans MT" w:hAnsi="Bookman Old Style"/>
      <w:color w:val="9FB8CD"/>
      <w:sz w:val="18"/>
      <w:szCs w:val="20"/>
      <w:lang w:eastAsia="ja-JP" w:bidi="he-IL"/>
    </w:rPr>
  </w:style>
  <w:style w:type="paragraph" w:customStyle="1" w:styleId="Achievement">
    <w:name w:val="Achievement"/>
    <w:next w:val="NoSpacing"/>
    <w:link w:val="Achievement0"/>
    <w:autoRedefine/>
    <w:rsid w:val="007D3A0B"/>
    <w:pPr>
      <w:tabs>
        <w:tab w:val="num" w:pos="440"/>
        <w:tab w:val="left" w:pos="6451"/>
      </w:tabs>
      <w:spacing w:after="60" w:line="220" w:lineRule="atLeast"/>
      <w:ind w:left="440" w:right="245" w:hanging="420"/>
    </w:pPr>
    <w:rPr>
      <w:rFonts w:eastAsia="MS Mincho"/>
      <w:bCs/>
      <w:iCs/>
      <w:lang w:val="id-ID" w:eastAsia="id-ID"/>
    </w:rPr>
  </w:style>
  <w:style w:type="character" w:customStyle="1" w:styleId="Achievement0">
    <w:name w:val="Achievement (文字)"/>
    <w:link w:val="Achievement"/>
    <w:rsid w:val="007D3A0B"/>
    <w:rPr>
      <w:rFonts w:eastAsia="MS Mincho"/>
      <w:bCs/>
      <w:iCs/>
      <w:lang w:val="id-ID" w:eastAsia="id-ID" w:bidi="ar-SA"/>
    </w:rPr>
  </w:style>
  <w:style w:type="paragraph" w:customStyle="1" w:styleId="Address1">
    <w:name w:val="Address 1"/>
    <w:basedOn w:val="Normal"/>
    <w:rsid w:val="007D3A0B"/>
    <w:pPr>
      <w:widowControl/>
      <w:spacing w:line="200" w:lineRule="atLeast"/>
      <w:jc w:val="left"/>
    </w:pPr>
    <w:rPr>
      <w:rFonts w:eastAsia="MS Mincho"/>
      <w:sz w:val="16"/>
      <w:szCs w:val="20"/>
      <w:u w:color="FFFFFF"/>
    </w:rPr>
  </w:style>
  <w:style w:type="paragraph" w:customStyle="1" w:styleId="Address2">
    <w:name w:val="Address 2"/>
    <w:basedOn w:val="Normal"/>
    <w:rsid w:val="007D3A0B"/>
    <w:pPr>
      <w:widowControl/>
      <w:spacing w:line="200" w:lineRule="atLeast"/>
      <w:jc w:val="left"/>
    </w:pPr>
    <w:rPr>
      <w:rFonts w:eastAsia="MS Mincho"/>
      <w:sz w:val="16"/>
      <w:szCs w:val="20"/>
      <w:u w:color="FFFFFF"/>
    </w:rPr>
  </w:style>
  <w:style w:type="paragraph" w:customStyle="1" w:styleId="JobTitle">
    <w:name w:val="Job Title"/>
    <w:next w:val="Achievement"/>
    <w:link w:val="JobTitle0"/>
    <w:rsid w:val="007D3A0B"/>
    <w:pPr>
      <w:spacing w:after="40" w:line="220" w:lineRule="atLeast"/>
    </w:pPr>
    <w:rPr>
      <w:rFonts w:ascii="Arial" w:eastAsia="MS Mincho" w:hAnsi="Arial"/>
      <w:b/>
      <w:spacing w:val="-10"/>
      <w:lang w:val="id-ID" w:eastAsia="id-ID"/>
    </w:rPr>
  </w:style>
  <w:style w:type="character" w:customStyle="1" w:styleId="JobTitle0">
    <w:name w:val="Job Title (文字)"/>
    <w:link w:val="JobTitle"/>
    <w:rsid w:val="007D3A0B"/>
    <w:rPr>
      <w:rFonts w:ascii="Arial" w:eastAsia="MS Mincho" w:hAnsi="Arial"/>
      <w:b/>
      <w:spacing w:val="-10"/>
      <w:lang w:val="id-ID" w:eastAsia="id-ID" w:bidi="ar-SA"/>
    </w:rPr>
  </w:style>
  <w:style w:type="paragraph" w:customStyle="1" w:styleId="Name">
    <w:name w:val="Name"/>
    <w:basedOn w:val="Normal"/>
    <w:next w:val="Normal"/>
    <w:autoRedefine/>
    <w:rsid w:val="007D3A0B"/>
    <w:pPr>
      <w:widowControl/>
      <w:spacing w:before="360" w:after="440" w:line="240" w:lineRule="atLeast"/>
      <w:ind w:right="-150"/>
      <w:jc w:val="left"/>
    </w:pPr>
    <w:rPr>
      <w:rFonts w:eastAsia="MS Mincho"/>
      <w:spacing w:val="-20"/>
      <w:sz w:val="48"/>
      <w:szCs w:val="20"/>
      <w:u w:color="FFFFFF"/>
    </w:rPr>
  </w:style>
  <w:style w:type="paragraph" w:customStyle="1" w:styleId="list0020paragraph">
    <w:name w:val="list_0020paragraph"/>
    <w:basedOn w:val="Normal"/>
    <w:rsid w:val="00C44657"/>
    <w:pPr>
      <w:widowControl/>
      <w:spacing w:before="100" w:beforeAutospacing="1" w:after="100" w:afterAutospacing="1"/>
      <w:jc w:val="left"/>
    </w:pPr>
    <w:rPr>
      <w:sz w:val="24"/>
      <w:lang w:eastAsia="id-ID"/>
    </w:rPr>
  </w:style>
  <w:style w:type="character" w:customStyle="1" w:styleId="list0020paragraphchar">
    <w:name w:val="list_0020paragraph__char"/>
    <w:basedOn w:val="DefaultParagraphFont"/>
    <w:rsid w:val="00C44657"/>
  </w:style>
  <w:style w:type="paragraph" w:customStyle="1" w:styleId="Normal1">
    <w:name w:val="Normal1"/>
    <w:basedOn w:val="Normal"/>
    <w:rsid w:val="00C44657"/>
    <w:pPr>
      <w:widowControl/>
      <w:spacing w:before="100" w:beforeAutospacing="1" w:after="100" w:afterAutospacing="1"/>
      <w:jc w:val="left"/>
    </w:pPr>
    <w:rPr>
      <w:sz w:val="24"/>
      <w:lang w:eastAsia="id-ID"/>
    </w:rPr>
  </w:style>
  <w:style w:type="character" w:customStyle="1" w:styleId="normalchar">
    <w:name w:val="normal__char"/>
    <w:basedOn w:val="DefaultParagraphFont"/>
    <w:rsid w:val="00C44657"/>
  </w:style>
  <w:style w:type="paragraph" w:customStyle="1" w:styleId="table0020grid">
    <w:name w:val="table_0020grid"/>
    <w:basedOn w:val="Normal"/>
    <w:rsid w:val="00C44657"/>
    <w:pPr>
      <w:widowControl/>
      <w:spacing w:before="100" w:beforeAutospacing="1" w:after="100" w:afterAutospacing="1"/>
      <w:jc w:val="left"/>
    </w:pPr>
    <w:rPr>
      <w:sz w:val="24"/>
      <w:lang w:eastAsia="id-ID"/>
    </w:rPr>
  </w:style>
  <w:style w:type="character" w:customStyle="1" w:styleId="table0020gridchar">
    <w:name w:val="table_0020grid__char"/>
    <w:basedOn w:val="DefaultParagraphFont"/>
    <w:rsid w:val="00C44657"/>
  </w:style>
  <w:style w:type="character" w:customStyle="1" w:styleId="hpschar">
    <w:name w:val="hps__char"/>
    <w:basedOn w:val="DefaultParagraphFont"/>
    <w:rsid w:val="00C44657"/>
  </w:style>
  <w:style w:type="paragraph" w:customStyle="1" w:styleId="normal0020table">
    <w:name w:val="normal_0020table"/>
    <w:basedOn w:val="Normal"/>
    <w:rsid w:val="00C44657"/>
    <w:pPr>
      <w:widowControl/>
      <w:spacing w:before="100" w:beforeAutospacing="1" w:after="100" w:afterAutospacing="1"/>
      <w:jc w:val="left"/>
    </w:pPr>
    <w:rPr>
      <w:sz w:val="24"/>
      <w:lang w:eastAsia="id-ID"/>
    </w:rPr>
  </w:style>
  <w:style w:type="character" w:customStyle="1" w:styleId="normal0020tablechar">
    <w:name w:val="normal_0020table__char"/>
    <w:basedOn w:val="DefaultParagraphFont"/>
    <w:rsid w:val="00C44657"/>
  </w:style>
  <w:style w:type="paragraph" w:customStyle="1" w:styleId="table0020grid1">
    <w:name w:val="table_0020grid1"/>
    <w:basedOn w:val="Normal"/>
    <w:rsid w:val="00C44657"/>
    <w:pPr>
      <w:widowControl/>
      <w:spacing w:before="100" w:beforeAutospacing="1" w:after="100" w:afterAutospacing="1"/>
      <w:jc w:val="left"/>
    </w:pPr>
    <w:rPr>
      <w:sz w:val="24"/>
      <w:lang w:eastAsia="id-ID"/>
    </w:rPr>
  </w:style>
  <w:style w:type="character" w:customStyle="1" w:styleId="table0020grid1char">
    <w:name w:val="table_0020grid1__char"/>
    <w:basedOn w:val="DefaultParagraphFont"/>
    <w:rsid w:val="00C44657"/>
  </w:style>
  <w:style w:type="paragraph" w:customStyle="1" w:styleId="table0020grid4">
    <w:name w:val="table_0020grid4"/>
    <w:basedOn w:val="Normal"/>
    <w:rsid w:val="00C44657"/>
    <w:pPr>
      <w:widowControl/>
      <w:spacing w:before="100" w:beforeAutospacing="1" w:after="100" w:afterAutospacing="1"/>
      <w:jc w:val="left"/>
    </w:pPr>
    <w:rPr>
      <w:sz w:val="24"/>
      <w:lang w:eastAsia="id-ID"/>
    </w:rPr>
  </w:style>
  <w:style w:type="character" w:customStyle="1" w:styleId="table0020grid4char">
    <w:name w:val="table_0020grid4__char"/>
    <w:basedOn w:val="DefaultParagraphFont"/>
    <w:rsid w:val="00C44657"/>
  </w:style>
  <w:style w:type="paragraph" w:customStyle="1" w:styleId="table0020grid3">
    <w:name w:val="table_0020grid3"/>
    <w:basedOn w:val="Normal"/>
    <w:rsid w:val="00C44657"/>
    <w:pPr>
      <w:widowControl/>
      <w:spacing w:before="100" w:beforeAutospacing="1" w:after="100" w:afterAutospacing="1"/>
      <w:jc w:val="left"/>
    </w:pPr>
    <w:rPr>
      <w:sz w:val="24"/>
      <w:lang w:eastAsia="id-ID"/>
    </w:rPr>
  </w:style>
  <w:style w:type="character" w:customStyle="1" w:styleId="table0020grid3char">
    <w:name w:val="table_0020grid3__char"/>
    <w:basedOn w:val="DefaultParagraphFont"/>
    <w:rsid w:val="00C44657"/>
  </w:style>
  <w:style w:type="table" w:customStyle="1" w:styleId="TableGrid1">
    <w:name w:val="Table Grid1"/>
    <w:basedOn w:val="TableNormal"/>
    <w:rsid w:val="00C446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01E06"/>
    <w:pPr>
      <w:widowControl/>
      <w:spacing w:line="480" w:lineRule="auto"/>
    </w:pPr>
    <w:rPr>
      <w:sz w:val="24"/>
    </w:rPr>
  </w:style>
  <w:style w:type="paragraph" w:styleId="z-TopofForm">
    <w:name w:val="HTML Top of Form"/>
    <w:basedOn w:val="Normal"/>
    <w:next w:val="Normal"/>
    <w:hidden/>
    <w:semiHidden/>
    <w:unhideWhenUsed/>
    <w:rsid w:val="00C01E06"/>
    <w:pPr>
      <w:widowControl/>
      <w:pBdr>
        <w:bottom w:val="single" w:sz="6" w:space="1" w:color="auto"/>
      </w:pBdr>
      <w:jc w:val="center"/>
    </w:pPr>
    <w:rPr>
      <w:rFonts w:ascii="Arial" w:hAnsi="Arial"/>
      <w:vanish/>
      <w:sz w:val="16"/>
      <w:szCs w:val="16"/>
      <w:lang w:val="id-ID" w:eastAsia="id-ID"/>
    </w:rPr>
  </w:style>
  <w:style w:type="character" w:customStyle="1" w:styleId="gt-ft-text">
    <w:name w:val="gt-ft-text"/>
    <w:basedOn w:val="DefaultParagraphFont"/>
    <w:rsid w:val="00C01E06"/>
  </w:style>
  <w:style w:type="paragraph" w:customStyle="1" w:styleId="Style8">
    <w:name w:val="Style 8"/>
    <w:uiPriority w:val="99"/>
    <w:rsid w:val="004016BE"/>
    <w:pPr>
      <w:widowControl w:val="0"/>
      <w:autoSpaceDE w:val="0"/>
      <w:autoSpaceDN w:val="0"/>
      <w:spacing w:before="180" w:line="360" w:lineRule="auto"/>
      <w:ind w:left="720"/>
    </w:pPr>
    <w:rPr>
      <w:i/>
      <w:iCs/>
      <w:sz w:val="22"/>
      <w:szCs w:val="22"/>
    </w:rPr>
  </w:style>
  <w:style w:type="character" w:customStyle="1" w:styleId="CharacterStyle2">
    <w:name w:val="Character Style 2"/>
    <w:uiPriority w:val="99"/>
    <w:rsid w:val="004016BE"/>
    <w:rPr>
      <w:i/>
      <w:iCs/>
      <w:sz w:val="22"/>
      <w:szCs w:val="22"/>
    </w:rPr>
  </w:style>
  <w:style w:type="paragraph" w:customStyle="1" w:styleId="aa">
    <w:name w:val="aa"/>
    <w:basedOn w:val="Normal"/>
    <w:link w:val="aaChar"/>
    <w:qFormat/>
    <w:rsid w:val="005D097E"/>
    <w:pPr>
      <w:widowControl/>
      <w:tabs>
        <w:tab w:val="left" w:pos="426"/>
        <w:tab w:val="left" w:pos="851"/>
        <w:tab w:val="left" w:pos="1418"/>
        <w:tab w:val="left" w:pos="1843"/>
        <w:tab w:val="left" w:pos="2268"/>
        <w:tab w:val="left" w:pos="2694"/>
        <w:tab w:val="left" w:pos="3119"/>
        <w:tab w:val="left" w:pos="3544"/>
        <w:tab w:val="left" w:pos="3969"/>
        <w:tab w:val="left" w:pos="4395"/>
        <w:tab w:val="left" w:pos="4820"/>
      </w:tabs>
      <w:spacing w:line="480" w:lineRule="auto"/>
      <w:ind w:firstLine="851"/>
    </w:pPr>
    <w:rPr>
      <w:rFonts w:ascii="Arial" w:eastAsia="Calibri" w:hAnsi="Arial"/>
      <w:sz w:val="24"/>
    </w:rPr>
  </w:style>
  <w:style w:type="character" w:customStyle="1" w:styleId="aaChar">
    <w:name w:val="aa Char"/>
    <w:link w:val="aa"/>
    <w:rsid w:val="005D097E"/>
    <w:rPr>
      <w:rFonts w:ascii="Arial" w:eastAsia="Calibri" w:hAnsi="Arial"/>
      <w:sz w:val="24"/>
      <w:szCs w:val="24"/>
      <w:lang w:val="en-US"/>
    </w:rPr>
  </w:style>
  <w:style w:type="character" w:styleId="FootnoteReference">
    <w:name w:val="footnote reference"/>
    <w:uiPriority w:val="99"/>
    <w:unhideWhenUsed/>
    <w:rsid w:val="005D097E"/>
    <w:rPr>
      <w:vertAlign w:val="superscript"/>
    </w:rPr>
  </w:style>
  <w:style w:type="character" w:customStyle="1" w:styleId="hps">
    <w:name w:val="hps"/>
    <w:basedOn w:val="DefaultParagraphFont"/>
    <w:rsid w:val="005D097E"/>
  </w:style>
  <w:style w:type="paragraph" w:styleId="EndnoteText">
    <w:name w:val="endnote text"/>
    <w:basedOn w:val="Normal"/>
    <w:link w:val="EndnoteTextChar"/>
    <w:uiPriority w:val="99"/>
    <w:unhideWhenUsed/>
    <w:rsid w:val="005D097E"/>
    <w:pPr>
      <w:widowControl/>
      <w:jc w:val="left"/>
    </w:pPr>
    <w:rPr>
      <w:rFonts w:ascii="Calibri" w:eastAsia="Calibri" w:hAnsi="Calibri"/>
      <w:szCs w:val="20"/>
      <w:lang w:val="id-ID"/>
    </w:rPr>
  </w:style>
  <w:style w:type="character" w:customStyle="1" w:styleId="EndnoteTextChar">
    <w:name w:val="Endnote Text Char"/>
    <w:link w:val="EndnoteText"/>
    <w:uiPriority w:val="99"/>
    <w:rsid w:val="005D097E"/>
    <w:rPr>
      <w:rFonts w:ascii="Calibri" w:eastAsia="Calibri" w:hAnsi="Calibri"/>
    </w:rPr>
  </w:style>
  <w:style w:type="character" w:styleId="EndnoteReference">
    <w:name w:val="endnote reference"/>
    <w:uiPriority w:val="99"/>
    <w:unhideWhenUsed/>
    <w:rsid w:val="005D097E"/>
    <w:rPr>
      <w:vertAlign w:val="superscript"/>
    </w:rPr>
  </w:style>
  <w:style w:type="character" w:styleId="FollowedHyperlink">
    <w:name w:val="FollowedHyperlink"/>
    <w:basedOn w:val="DefaultParagraphFont"/>
    <w:semiHidden/>
    <w:unhideWhenUsed/>
    <w:rsid w:val="007330E3"/>
    <w:rPr>
      <w:color w:val="800080" w:themeColor="followedHyperlink"/>
      <w:u w:val="single"/>
    </w:rPr>
  </w:style>
  <w:style w:type="character" w:styleId="UnresolvedMention">
    <w:name w:val="Unresolved Mention"/>
    <w:basedOn w:val="DefaultParagraphFont"/>
    <w:uiPriority w:val="99"/>
    <w:semiHidden/>
    <w:unhideWhenUsed/>
    <w:rsid w:val="002F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9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53730/ijhs.v6n3.131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978-3-030-56703-3_8"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1154/JUSTICIA.V16I1.166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inting\Perbanas\Ventura\Template%20Jurnal%20Ventura%20Versi%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E1118-13C3-4116-9CB8-059614E5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Ventura Versi 2.0</Template>
  <TotalTime>1049</TotalTime>
  <Pages>12</Pages>
  <Words>8632</Words>
  <Characters>49203</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JOS3</vt:lpstr>
    </vt:vector>
  </TitlesOfParts>
  <Company>Person of ITS-UA</Company>
  <LinksUpToDate>false</LinksUpToDate>
  <CharactersWithSpaces>57720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JOS3</dc:title>
  <dc:creator>Sembilan Matahari</dc:creator>
  <cp:lastModifiedBy>prof.diditdarmawan@gmail.com</cp:lastModifiedBy>
  <cp:revision>45</cp:revision>
  <cp:lastPrinted>2025-08-27T07:52:00Z</cp:lastPrinted>
  <dcterms:created xsi:type="dcterms:W3CDTF">2025-05-26T05:14:00Z</dcterms:created>
  <dcterms:modified xsi:type="dcterms:W3CDTF">2025-11-19T12:07:00Z</dcterms:modified>
</cp:coreProperties>
</file>